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2C5520">
        <w:rPr>
          <w:b/>
          <w:sz w:val="40"/>
          <w:szCs w:val="40"/>
        </w:rPr>
        <w:t>3</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bookmarkStart w:id="0" w:name="_GoBack"/>
      <w:bookmarkEnd w:id="0"/>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B7009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35839726" w:history="1">
            <w:r w:rsidR="00B70090" w:rsidRPr="000A0974">
              <w:rPr>
                <w:rStyle w:val="Hipercze"/>
                <w:rFonts w:ascii="Calibri" w:hAnsi="Calibri"/>
                <w:b/>
                <w:noProof/>
              </w:rPr>
              <w:t>I.</w:t>
            </w:r>
            <w:r w:rsidR="00B70090">
              <w:rPr>
                <w:rFonts w:eastAsiaTheme="minorEastAsia"/>
                <w:noProof/>
                <w:lang w:eastAsia="pl-PL"/>
              </w:rPr>
              <w:tab/>
            </w:r>
            <w:r w:rsidR="00B70090" w:rsidRPr="000A0974">
              <w:rPr>
                <w:rStyle w:val="Hipercze"/>
                <w:rFonts w:ascii="Calibri" w:hAnsi="Calibri"/>
                <w:b/>
                <w:noProof/>
              </w:rPr>
              <w:t>CEL</w:t>
            </w:r>
            <w:r w:rsidR="00B70090">
              <w:rPr>
                <w:noProof/>
                <w:webHidden/>
              </w:rPr>
              <w:tab/>
            </w:r>
            <w:r w:rsidR="00B70090">
              <w:rPr>
                <w:noProof/>
                <w:webHidden/>
              </w:rPr>
              <w:fldChar w:fldCharType="begin"/>
            </w:r>
            <w:r w:rsidR="00B70090">
              <w:rPr>
                <w:noProof/>
                <w:webHidden/>
              </w:rPr>
              <w:instrText xml:space="preserve"> PAGEREF _Toc535839726 \h </w:instrText>
            </w:r>
            <w:r w:rsidR="00B70090">
              <w:rPr>
                <w:noProof/>
                <w:webHidden/>
              </w:rPr>
            </w:r>
            <w:r w:rsidR="00B70090">
              <w:rPr>
                <w:noProof/>
                <w:webHidden/>
              </w:rPr>
              <w:fldChar w:fldCharType="separate"/>
            </w:r>
            <w:r w:rsidR="009F40AB">
              <w:rPr>
                <w:noProof/>
                <w:webHidden/>
              </w:rPr>
              <w:t>3</w:t>
            </w:r>
            <w:r w:rsidR="00B70090">
              <w:rPr>
                <w:noProof/>
                <w:webHidden/>
              </w:rPr>
              <w:fldChar w:fldCharType="end"/>
            </w:r>
          </w:hyperlink>
        </w:p>
        <w:p w:rsidR="00B70090" w:rsidRDefault="00A11BA4">
          <w:pPr>
            <w:pStyle w:val="Spistreci1"/>
            <w:tabs>
              <w:tab w:val="right" w:leader="dot" w:pos="9060"/>
            </w:tabs>
            <w:rPr>
              <w:rFonts w:eastAsiaTheme="minorEastAsia"/>
              <w:noProof/>
              <w:lang w:eastAsia="pl-PL"/>
            </w:rPr>
          </w:pPr>
          <w:hyperlink w:anchor="_Toc535839727" w:history="1">
            <w:r w:rsidR="00B70090" w:rsidRPr="000A0974">
              <w:rPr>
                <w:rStyle w:val="Hipercze"/>
                <w:b/>
                <w:noProof/>
              </w:rPr>
              <w:t>II.   OGÓLNE ZASADY</w:t>
            </w:r>
            <w:r w:rsidR="00B70090">
              <w:rPr>
                <w:noProof/>
                <w:webHidden/>
              </w:rPr>
              <w:tab/>
            </w:r>
            <w:r w:rsidR="00B70090">
              <w:rPr>
                <w:noProof/>
                <w:webHidden/>
              </w:rPr>
              <w:fldChar w:fldCharType="begin"/>
            </w:r>
            <w:r w:rsidR="00B70090">
              <w:rPr>
                <w:noProof/>
                <w:webHidden/>
              </w:rPr>
              <w:instrText xml:space="preserve"> PAGEREF _Toc535839727 \h </w:instrText>
            </w:r>
            <w:r w:rsidR="00B70090">
              <w:rPr>
                <w:noProof/>
                <w:webHidden/>
              </w:rPr>
            </w:r>
            <w:r w:rsidR="00B70090">
              <w:rPr>
                <w:noProof/>
                <w:webHidden/>
              </w:rPr>
              <w:fldChar w:fldCharType="separate"/>
            </w:r>
            <w:r w:rsidR="009F40AB">
              <w:rPr>
                <w:noProof/>
                <w:webHidden/>
              </w:rPr>
              <w:t>3</w:t>
            </w:r>
            <w:r w:rsidR="00B70090">
              <w:rPr>
                <w:noProof/>
                <w:webHidden/>
              </w:rPr>
              <w:fldChar w:fldCharType="end"/>
            </w:r>
          </w:hyperlink>
        </w:p>
        <w:p w:rsidR="00B70090" w:rsidRDefault="00A11BA4">
          <w:pPr>
            <w:pStyle w:val="Spistreci1"/>
            <w:tabs>
              <w:tab w:val="right" w:leader="dot" w:pos="9060"/>
            </w:tabs>
            <w:rPr>
              <w:rFonts w:eastAsiaTheme="minorEastAsia"/>
              <w:noProof/>
              <w:lang w:eastAsia="pl-PL"/>
            </w:rPr>
          </w:pPr>
          <w:hyperlink w:anchor="_Toc535839728" w:history="1">
            <w:r w:rsidR="00B70090" w:rsidRPr="000A0974">
              <w:rPr>
                <w:rStyle w:val="Hipercze"/>
                <w:b/>
                <w:noProof/>
              </w:rPr>
              <w:t>III.   INSTRUMENTY AKTYWNEJ INTEGRACJI</w:t>
            </w:r>
            <w:r w:rsidR="00B70090">
              <w:rPr>
                <w:noProof/>
                <w:webHidden/>
              </w:rPr>
              <w:tab/>
            </w:r>
            <w:r w:rsidR="00B70090">
              <w:rPr>
                <w:noProof/>
                <w:webHidden/>
              </w:rPr>
              <w:fldChar w:fldCharType="begin"/>
            </w:r>
            <w:r w:rsidR="00B70090">
              <w:rPr>
                <w:noProof/>
                <w:webHidden/>
              </w:rPr>
              <w:instrText xml:space="preserve"> PAGEREF _Toc535839728 \h </w:instrText>
            </w:r>
            <w:r w:rsidR="00B70090">
              <w:rPr>
                <w:noProof/>
                <w:webHidden/>
              </w:rPr>
            </w:r>
            <w:r w:rsidR="00B70090">
              <w:rPr>
                <w:noProof/>
                <w:webHidden/>
              </w:rPr>
              <w:fldChar w:fldCharType="separate"/>
            </w:r>
            <w:r w:rsidR="009F40AB">
              <w:rPr>
                <w:noProof/>
                <w:webHidden/>
              </w:rPr>
              <w:t>5</w:t>
            </w:r>
            <w:r w:rsidR="00B70090">
              <w:rPr>
                <w:noProof/>
                <w:webHidden/>
              </w:rPr>
              <w:fldChar w:fldCharType="end"/>
            </w:r>
          </w:hyperlink>
        </w:p>
        <w:p w:rsidR="00B70090" w:rsidRDefault="00A11BA4">
          <w:pPr>
            <w:pStyle w:val="Spistreci2"/>
            <w:rPr>
              <w:rFonts w:eastAsiaTheme="minorEastAsia"/>
              <w:noProof/>
              <w:lang w:eastAsia="pl-PL"/>
            </w:rPr>
          </w:pPr>
          <w:hyperlink w:anchor="_Toc535839729" w:history="1">
            <w:r w:rsidR="00B70090" w:rsidRPr="000A0974">
              <w:rPr>
                <w:rStyle w:val="Hipercze"/>
                <w:b/>
                <w:noProof/>
                <w:lang w:eastAsia="pl-PL"/>
              </w:rPr>
              <w:t>III.1.</w:t>
            </w:r>
            <w:r w:rsidR="00B70090">
              <w:rPr>
                <w:rFonts w:eastAsiaTheme="minorEastAsia"/>
                <w:noProof/>
                <w:lang w:eastAsia="pl-PL"/>
              </w:rPr>
              <w:tab/>
            </w:r>
            <w:r w:rsidR="00B70090" w:rsidRPr="000A0974">
              <w:rPr>
                <w:rStyle w:val="Hipercze"/>
                <w:b/>
                <w:noProof/>
                <w:lang w:eastAsia="pl-PL"/>
              </w:rPr>
              <w:t>Instrumenty aktywizacji społecznej</w:t>
            </w:r>
            <w:r w:rsidR="00B70090">
              <w:rPr>
                <w:noProof/>
                <w:webHidden/>
              </w:rPr>
              <w:tab/>
            </w:r>
            <w:r w:rsidR="00B70090">
              <w:rPr>
                <w:noProof/>
                <w:webHidden/>
              </w:rPr>
              <w:fldChar w:fldCharType="begin"/>
            </w:r>
            <w:r w:rsidR="00B70090">
              <w:rPr>
                <w:noProof/>
                <w:webHidden/>
              </w:rPr>
              <w:instrText xml:space="preserve"> PAGEREF _Toc535839729 \h </w:instrText>
            </w:r>
            <w:r w:rsidR="00B70090">
              <w:rPr>
                <w:noProof/>
                <w:webHidden/>
              </w:rPr>
            </w:r>
            <w:r w:rsidR="00B70090">
              <w:rPr>
                <w:noProof/>
                <w:webHidden/>
              </w:rPr>
              <w:fldChar w:fldCharType="separate"/>
            </w:r>
            <w:r w:rsidR="009F40AB">
              <w:rPr>
                <w:noProof/>
                <w:webHidden/>
              </w:rPr>
              <w:t>7</w:t>
            </w:r>
            <w:r w:rsidR="00B70090">
              <w:rPr>
                <w:noProof/>
                <w:webHidden/>
              </w:rPr>
              <w:fldChar w:fldCharType="end"/>
            </w:r>
          </w:hyperlink>
        </w:p>
        <w:p w:rsidR="00B70090" w:rsidRDefault="00A11BA4">
          <w:pPr>
            <w:pStyle w:val="Spistreci2"/>
            <w:rPr>
              <w:rFonts w:eastAsiaTheme="minorEastAsia"/>
              <w:noProof/>
              <w:lang w:eastAsia="pl-PL"/>
            </w:rPr>
          </w:pPr>
          <w:hyperlink w:anchor="_Toc535839730" w:history="1">
            <w:r w:rsidR="00B70090" w:rsidRPr="000A0974">
              <w:rPr>
                <w:rStyle w:val="Hipercze"/>
                <w:b/>
                <w:noProof/>
                <w:lang w:eastAsia="pl-PL"/>
              </w:rPr>
              <w:t>III.2.</w:t>
            </w:r>
            <w:r w:rsidR="00B70090">
              <w:rPr>
                <w:rFonts w:eastAsiaTheme="minorEastAsia"/>
                <w:noProof/>
                <w:lang w:eastAsia="pl-PL"/>
              </w:rPr>
              <w:tab/>
            </w:r>
            <w:r w:rsidR="00B70090" w:rsidRPr="000A0974">
              <w:rPr>
                <w:rStyle w:val="Hipercze"/>
                <w:b/>
                <w:noProof/>
                <w:lang w:eastAsia="pl-PL"/>
              </w:rPr>
              <w:t>Instrumenty aktywizacji zawodowej</w:t>
            </w:r>
            <w:r w:rsidR="00B70090">
              <w:rPr>
                <w:noProof/>
                <w:webHidden/>
              </w:rPr>
              <w:tab/>
            </w:r>
            <w:r w:rsidR="00B70090">
              <w:rPr>
                <w:noProof/>
                <w:webHidden/>
              </w:rPr>
              <w:fldChar w:fldCharType="begin"/>
            </w:r>
            <w:r w:rsidR="00B70090">
              <w:rPr>
                <w:noProof/>
                <w:webHidden/>
              </w:rPr>
              <w:instrText xml:space="preserve"> PAGEREF _Toc535839730 \h </w:instrText>
            </w:r>
            <w:r w:rsidR="00B70090">
              <w:rPr>
                <w:noProof/>
                <w:webHidden/>
              </w:rPr>
            </w:r>
            <w:r w:rsidR="00B70090">
              <w:rPr>
                <w:noProof/>
                <w:webHidden/>
              </w:rPr>
              <w:fldChar w:fldCharType="separate"/>
            </w:r>
            <w:r w:rsidR="009F40AB">
              <w:rPr>
                <w:noProof/>
                <w:webHidden/>
              </w:rPr>
              <w:t>7</w:t>
            </w:r>
            <w:r w:rsidR="00B70090">
              <w:rPr>
                <w:noProof/>
                <w:webHidden/>
              </w:rPr>
              <w:fldChar w:fldCharType="end"/>
            </w:r>
          </w:hyperlink>
        </w:p>
        <w:p w:rsidR="00B70090" w:rsidRDefault="00A11BA4">
          <w:pPr>
            <w:pStyle w:val="Spistreci2"/>
            <w:rPr>
              <w:rFonts w:eastAsiaTheme="minorEastAsia"/>
              <w:noProof/>
              <w:lang w:eastAsia="pl-PL"/>
            </w:rPr>
          </w:pPr>
          <w:hyperlink w:anchor="_Toc535839731" w:history="1">
            <w:r w:rsidR="00B70090" w:rsidRPr="000A0974">
              <w:rPr>
                <w:rStyle w:val="Hipercze"/>
                <w:b/>
                <w:noProof/>
                <w:lang w:eastAsia="pl-PL"/>
              </w:rPr>
              <w:t>III.3.</w:t>
            </w:r>
            <w:r w:rsidR="00B70090">
              <w:rPr>
                <w:rFonts w:eastAsiaTheme="minorEastAsia"/>
                <w:noProof/>
                <w:lang w:eastAsia="pl-PL"/>
              </w:rPr>
              <w:tab/>
            </w:r>
            <w:r w:rsidR="00B70090" w:rsidRPr="000A0974">
              <w:rPr>
                <w:rStyle w:val="Hipercze"/>
                <w:b/>
                <w:noProof/>
                <w:lang w:eastAsia="pl-PL"/>
              </w:rPr>
              <w:t>Instrumenty aktywizacji edukacyjnej</w:t>
            </w:r>
            <w:r w:rsidR="00B70090">
              <w:rPr>
                <w:noProof/>
                <w:webHidden/>
              </w:rPr>
              <w:tab/>
            </w:r>
            <w:r w:rsidR="00B70090">
              <w:rPr>
                <w:noProof/>
                <w:webHidden/>
              </w:rPr>
              <w:fldChar w:fldCharType="begin"/>
            </w:r>
            <w:r w:rsidR="00B70090">
              <w:rPr>
                <w:noProof/>
                <w:webHidden/>
              </w:rPr>
              <w:instrText xml:space="preserve"> PAGEREF _Toc535839731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A11BA4">
          <w:pPr>
            <w:pStyle w:val="Spistreci1"/>
            <w:tabs>
              <w:tab w:val="left" w:pos="660"/>
              <w:tab w:val="right" w:leader="dot" w:pos="9060"/>
            </w:tabs>
            <w:rPr>
              <w:rFonts w:eastAsiaTheme="minorEastAsia"/>
              <w:noProof/>
              <w:lang w:eastAsia="pl-PL"/>
            </w:rPr>
          </w:pPr>
          <w:hyperlink w:anchor="_Toc535839732" w:history="1">
            <w:r w:rsidR="00B70090" w:rsidRPr="000A0974">
              <w:rPr>
                <w:rStyle w:val="Hipercze"/>
                <w:b/>
                <w:noProof/>
              </w:rPr>
              <w:t>IV.</w:t>
            </w:r>
            <w:r w:rsidR="00B70090">
              <w:rPr>
                <w:rFonts w:eastAsiaTheme="minorEastAsia"/>
                <w:noProof/>
                <w:lang w:eastAsia="pl-PL"/>
              </w:rPr>
              <w:tab/>
            </w:r>
            <w:r w:rsidR="00B70090" w:rsidRPr="000A0974">
              <w:rPr>
                <w:rStyle w:val="Hipercze"/>
                <w:b/>
                <w:noProof/>
              </w:rPr>
              <w:t>ZASADY REALIZACJI NIEKTÓRYCH INSTRUMENTÓW AKTYWIZACJI ZAWODOWEJ</w:t>
            </w:r>
            <w:r w:rsidR="00B70090">
              <w:rPr>
                <w:noProof/>
                <w:webHidden/>
              </w:rPr>
              <w:tab/>
            </w:r>
            <w:r w:rsidR="00B70090">
              <w:rPr>
                <w:noProof/>
                <w:webHidden/>
              </w:rPr>
              <w:fldChar w:fldCharType="begin"/>
            </w:r>
            <w:r w:rsidR="00B70090">
              <w:rPr>
                <w:noProof/>
                <w:webHidden/>
              </w:rPr>
              <w:instrText xml:space="preserve"> PAGEREF _Toc535839732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A11BA4">
          <w:pPr>
            <w:pStyle w:val="Spistreci3"/>
            <w:rPr>
              <w:rFonts w:eastAsiaTheme="minorEastAsia"/>
              <w:noProof/>
              <w:lang w:eastAsia="pl-PL"/>
            </w:rPr>
          </w:pPr>
          <w:hyperlink w:anchor="_Toc535839733" w:history="1">
            <w:r w:rsidR="00B70090" w:rsidRPr="000A0974">
              <w:rPr>
                <w:rStyle w:val="Hipercze"/>
                <w:rFonts w:ascii="Calibri" w:hAnsi="Calibri"/>
                <w:noProof/>
              </w:rPr>
              <w:t>IV.1.</w:t>
            </w:r>
            <w:r w:rsidR="00B70090">
              <w:rPr>
                <w:rFonts w:eastAsiaTheme="minorEastAsia"/>
                <w:noProof/>
                <w:lang w:eastAsia="pl-PL"/>
              </w:rPr>
              <w:tab/>
            </w:r>
            <w:r w:rsidR="00B70090" w:rsidRPr="000A0974">
              <w:rPr>
                <w:rStyle w:val="Hipercze"/>
                <w:rFonts w:ascii="Calibri" w:hAnsi="Calibri"/>
                <w:noProof/>
              </w:rPr>
              <w:t>Staże</w:t>
            </w:r>
            <w:r w:rsidR="00B70090">
              <w:rPr>
                <w:noProof/>
                <w:webHidden/>
              </w:rPr>
              <w:tab/>
            </w:r>
            <w:r w:rsidR="00B70090">
              <w:rPr>
                <w:noProof/>
                <w:webHidden/>
              </w:rPr>
              <w:fldChar w:fldCharType="begin"/>
            </w:r>
            <w:r w:rsidR="00B70090">
              <w:rPr>
                <w:noProof/>
                <w:webHidden/>
              </w:rPr>
              <w:instrText xml:space="preserve"> PAGEREF _Toc535839733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A11BA4">
          <w:pPr>
            <w:pStyle w:val="Spistreci3"/>
            <w:rPr>
              <w:rFonts w:eastAsiaTheme="minorEastAsia"/>
              <w:noProof/>
              <w:lang w:eastAsia="pl-PL"/>
            </w:rPr>
          </w:pPr>
          <w:hyperlink w:anchor="_Toc535839734" w:history="1">
            <w:r w:rsidR="00B70090" w:rsidRPr="000A0974">
              <w:rPr>
                <w:rStyle w:val="Hipercze"/>
                <w:rFonts w:ascii="Calibri" w:hAnsi="Calibri"/>
                <w:noProof/>
              </w:rPr>
              <w:t>IV.2.</w:t>
            </w:r>
            <w:r w:rsidR="00B70090">
              <w:rPr>
                <w:rFonts w:eastAsiaTheme="minorEastAsia"/>
                <w:noProof/>
                <w:lang w:eastAsia="pl-PL"/>
              </w:rPr>
              <w:tab/>
            </w:r>
            <w:r w:rsidR="00B70090" w:rsidRPr="000A0974">
              <w:rPr>
                <w:rStyle w:val="Hipercze"/>
                <w:rFonts w:ascii="Calibri" w:hAnsi="Calibri"/>
                <w:noProof/>
              </w:rPr>
              <w:t>Szkolenia</w:t>
            </w:r>
            <w:r w:rsidR="00B70090">
              <w:rPr>
                <w:noProof/>
                <w:webHidden/>
              </w:rPr>
              <w:tab/>
            </w:r>
            <w:r w:rsidR="00B70090">
              <w:rPr>
                <w:noProof/>
                <w:webHidden/>
              </w:rPr>
              <w:fldChar w:fldCharType="begin"/>
            </w:r>
            <w:r w:rsidR="00B70090">
              <w:rPr>
                <w:noProof/>
                <w:webHidden/>
              </w:rPr>
              <w:instrText xml:space="preserve"> PAGEREF _Toc535839734 \h </w:instrText>
            </w:r>
            <w:r w:rsidR="00B70090">
              <w:rPr>
                <w:noProof/>
                <w:webHidden/>
              </w:rPr>
            </w:r>
            <w:r w:rsidR="00B70090">
              <w:rPr>
                <w:noProof/>
                <w:webHidden/>
              </w:rPr>
              <w:fldChar w:fldCharType="separate"/>
            </w:r>
            <w:r w:rsidR="009F40AB">
              <w:rPr>
                <w:noProof/>
                <w:webHidden/>
              </w:rPr>
              <w:t>14</w:t>
            </w:r>
            <w:r w:rsidR="00B70090">
              <w:rPr>
                <w:noProof/>
                <w:webHidden/>
              </w:rPr>
              <w:fldChar w:fldCharType="end"/>
            </w:r>
          </w:hyperlink>
        </w:p>
        <w:p w:rsidR="00B70090" w:rsidRDefault="00A11BA4">
          <w:pPr>
            <w:pStyle w:val="Spistreci3"/>
            <w:rPr>
              <w:rFonts w:eastAsiaTheme="minorEastAsia"/>
              <w:noProof/>
              <w:lang w:eastAsia="pl-PL"/>
            </w:rPr>
          </w:pPr>
          <w:hyperlink w:anchor="_Toc535839735" w:history="1">
            <w:r w:rsidR="00B70090" w:rsidRPr="000A0974">
              <w:rPr>
                <w:rStyle w:val="Hipercze"/>
                <w:rFonts w:ascii="Calibri" w:hAnsi="Calibri"/>
                <w:noProof/>
              </w:rPr>
              <w:t>IV.3.</w:t>
            </w:r>
            <w:r w:rsidR="00B70090">
              <w:rPr>
                <w:rFonts w:eastAsiaTheme="minorEastAsia"/>
                <w:noProof/>
                <w:lang w:eastAsia="pl-PL"/>
              </w:rPr>
              <w:tab/>
            </w:r>
            <w:r w:rsidR="00B70090" w:rsidRPr="000A0974">
              <w:rPr>
                <w:rStyle w:val="Hipercze"/>
                <w:rFonts w:ascii="Calibri" w:hAnsi="Calibri"/>
                <w:noProof/>
              </w:rPr>
              <w:t>Zatrudnienie wspomagane</w:t>
            </w:r>
            <w:r w:rsidR="00B70090">
              <w:rPr>
                <w:noProof/>
                <w:webHidden/>
              </w:rPr>
              <w:tab/>
            </w:r>
            <w:r w:rsidR="00B70090">
              <w:rPr>
                <w:noProof/>
                <w:webHidden/>
              </w:rPr>
              <w:fldChar w:fldCharType="begin"/>
            </w:r>
            <w:r w:rsidR="00B70090">
              <w:rPr>
                <w:noProof/>
                <w:webHidden/>
              </w:rPr>
              <w:instrText xml:space="preserve"> PAGEREF _Toc535839735 \h </w:instrText>
            </w:r>
            <w:r w:rsidR="00B70090">
              <w:rPr>
                <w:noProof/>
                <w:webHidden/>
              </w:rPr>
            </w:r>
            <w:r w:rsidR="00B70090">
              <w:rPr>
                <w:noProof/>
                <w:webHidden/>
              </w:rPr>
              <w:fldChar w:fldCharType="separate"/>
            </w:r>
            <w:r w:rsidR="009F40AB">
              <w:rPr>
                <w:noProof/>
                <w:webHidden/>
              </w:rPr>
              <w:t>17</w:t>
            </w:r>
            <w:r w:rsidR="00B70090">
              <w:rPr>
                <w:noProof/>
                <w:webHidden/>
              </w:rPr>
              <w:fldChar w:fldCharType="end"/>
            </w:r>
          </w:hyperlink>
        </w:p>
        <w:p w:rsidR="00B70090" w:rsidRDefault="00A11BA4">
          <w:pPr>
            <w:pStyle w:val="Spistreci3"/>
            <w:rPr>
              <w:rFonts w:eastAsiaTheme="minorEastAsia"/>
              <w:noProof/>
              <w:lang w:eastAsia="pl-PL"/>
            </w:rPr>
          </w:pPr>
          <w:hyperlink w:anchor="_Toc535839736" w:history="1">
            <w:r w:rsidR="00B70090" w:rsidRPr="000A0974">
              <w:rPr>
                <w:rStyle w:val="Hipercze"/>
                <w:rFonts w:ascii="Calibri" w:hAnsi="Calibri"/>
                <w:noProof/>
              </w:rPr>
              <w:t>IV.4.</w:t>
            </w:r>
            <w:r w:rsidR="00B70090">
              <w:rPr>
                <w:rFonts w:eastAsiaTheme="minorEastAsia"/>
                <w:noProof/>
                <w:lang w:eastAsia="pl-PL"/>
              </w:rPr>
              <w:tab/>
            </w:r>
            <w:r w:rsidR="00B70090" w:rsidRPr="000A0974">
              <w:rPr>
                <w:rStyle w:val="Hipercze"/>
                <w:rFonts w:ascii="Calibri" w:hAnsi="Calibri"/>
                <w:noProof/>
              </w:rPr>
              <w:t>Subsydiowane zatrudnienie</w:t>
            </w:r>
            <w:r w:rsidR="00B70090">
              <w:rPr>
                <w:noProof/>
                <w:webHidden/>
              </w:rPr>
              <w:tab/>
            </w:r>
            <w:r w:rsidR="00B70090">
              <w:rPr>
                <w:noProof/>
                <w:webHidden/>
              </w:rPr>
              <w:fldChar w:fldCharType="begin"/>
            </w:r>
            <w:r w:rsidR="00B70090">
              <w:rPr>
                <w:noProof/>
                <w:webHidden/>
              </w:rPr>
              <w:instrText xml:space="preserve"> PAGEREF _Toc535839736 \h </w:instrText>
            </w:r>
            <w:r w:rsidR="00B70090">
              <w:rPr>
                <w:noProof/>
                <w:webHidden/>
              </w:rPr>
            </w:r>
            <w:r w:rsidR="00B70090">
              <w:rPr>
                <w:noProof/>
                <w:webHidden/>
              </w:rPr>
              <w:fldChar w:fldCharType="separate"/>
            </w:r>
            <w:r w:rsidR="009F40AB">
              <w:rPr>
                <w:noProof/>
                <w:webHidden/>
              </w:rPr>
              <w:t>17</w:t>
            </w:r>
            <w:r w:rsidR="00B70090">
              <w:rPr>
                <w:noProof/>
                <w:webHidden/>
              </w:rPr>
              <w:fldChar w:fldCharType="end"/>
            </w:r>
          </w:hyperlink>
        </w:p>
        <w:p w:rsidR="00B70090" w:rsidRDefault="00A11BA4">
          <w:pPr>
            <w:pStyle w:val="Spistreci3"/>
            <w:rPr>
              <w:rFonts w:eastAsiaTheme="minorEastAsia"/>
              <w:noProof/>
              <w:lang w:eastAsia="pl-PL"/>
            </w:rPr>
          </w:pPr>
          <w:hyperlink w:anchor="_Toc535839737" w:history="1">
            <w:r w:rsidR="00B70090" w:rsidRPr="000A0974">
              <w:rPr>
                <w:rStyle w:val="Hipercze"/>
                <w:rFonts w:eastAsia="Times New Roman" w:cs="Arial"/>
                <w:b/>
                <w:bCs/>
                <w:noProof/>
              </w:rPr>
              <w:t>IV.5.</w:t>
            </w:r>
            <w:r w:rsidR="00B70090">
              <w:rPr>
                <w:rFonts w:eastAsiaTheme="minorEastAsia"/>
                <w:noProof/>
                <w:lang w:eastAsia="pl-PL"/>
              </w:rPr>
              <w:tab/>
            </w:r>
            <w:r w:rsidR="00B70090" w:rsidRPr="000A0974">
              <w:rPr>
                <w:rStyle w:val="Hipercze"/>
                <w:rFonts w:eastAsia="Times New Roman" w:cs="Arial"/>
                <w:b/>
                <w:bCs/>
                <w:noProof/>
              </w:rPr>
              <w:t>Doposażenie i wyposażenie stanowiska pracy</w:t>
            </w:r>
            <w:r w:rsidR="00B70090">
              <w:rPr>
                <w:noProof/>
                <w:webHidden/>
              </w:rPr>
              <w:tab/>
            </w:r>
            <w:r w:rsidR="00B70090">
              <w:rPr>
                <w:noProof/>
                <w:webHidden/>
              </w:rPr>
              <w:fldChar w:fldCharType="begin"/>
            </w:r>
            <w:r w:rsidR="00B70090">
              <w:rPr>
                <w:noProof/>
                <w:webHidden/>
              </w:rPr>
              <w:instrText xml:space="preserve"> PAGEREF _Toc535839737 \h </w:instrText>
            </w:r>
            <w:r w:rsidR="00B70090">
              <w:rPr>
                <w:noProof/>
                <w:webHidden/>
              </w:rPr>
            </w:r>
            <w:r w:rsidR="00B70090">
              <w:rPr>
                <w:noProof/>
                <w:webHidden/>
              </w:rPr>
              <w:fldChar w:fldCharType="separate"/>
            </w:r>
            <w:r w:rsidR="009F40AB">
              <w:rPr>
                <w:noProof/>
                <w:webHidden/>
              </w:rPr>
              <w:t>18</w:t>
            </w:r>
            <w:r w:rsidR="00B70090">
              <w:rPr>
                <w:noProof/>
                <w:webHidden/>
              </w:rPr>
              <w:fldChar w:fldCharType="end"/>
            </w:r>
          </w:hyperlink>
        </w:p>
        <w:p w:rsidR="00B70090" w:rsidRDefault="00A11BA4">
          <w:pPr>
            <w:pStyle w:val="Spistreci3"/>
            <w:rPr>
              <w:rFonts w:eastAsiaTheme="minorEastAsia"/>
              <w:noProof/>
              <w:lang w:eastAsia="pl-PL"/>
            </w:rPr>
          </w:pPr>
          <w:hyperlink w:anchor="_Toc535839738" w:history="1">
            <w:r w:rsidR="00B70090" w:rsidRPr="000A0974">
              <w:rPr>
                <w:rStyle w:val="Hipercze"/>
                <w:b/>
                <w:noProof/>
              </w:rPr>
              <w:t xml:space="preserve">V. </w:t>
            </w:r>
            <w:r w:rsidR="00B70090" w:rsidRPr="000A0974">
              <w:rPr>
                <w:rStyle w:val="Hipercze"/>
                <w:rFonts w:eastAsia="Times New Roman" w:cs="Arial"/>
                <w:b/>
                <w:bCs/>
                <w:noProof/>
              </w:rPr>
              <w:t>KOSZTY DOJAZDU UCZESTNIKA PROEJKTU/PERSONELU PROEJKTU</w:t>
            </w:r>
            <w:r w:rsidR="00B70090">
              <w:rPr>
                <w:noProof/>
                <w:webHidden/>
              </w:rPr>
              <w:tab/>
            </w:r>
            <w:r w:rsidR="00B70090">
              <w:rPr>
                <w:noProof/>
                <w:webHidden/>
              </w:rPr>
              <w:fldChar w:fldCharType="begin"/>
            </w:r>
            <w:r w:rsidR="00B70090">
              <w:rPr>
                <w:noProof/>
                <w:webHidden/>
              </w:rPr>
              <w:instrText xml:space="preserve"> PAGEREF _Toc535839738 \h </w:instrText>
            </w:r>
            <w:r w:rsidR="00B70090">
              <w:rPr>
                <w:noProof/>
                <w:webHidden/>
              </w:rPr>
            </w:r>
            <w:r w:rsidR="00B70090">
              <w:rPr>
                <w:noProof/>
                <w:webHidden/>
              </w:rPr>
              <w:fldChar w:fldCharType="separate"/>
            </w:r>
            <w:r w:rsidR="009F40AB">
              <w:rPr>
                <w:noProof/>
                <w:webHidden/>
              </w:rPr>
              <w:t>18</w:t>
            </w:r>
            <w:r w:rsidR="00B70090">
              <w:rPr>
                <w:noProof/>
                <w:webHidden/>
              </w:rPr>
              <w:fldChar w:fldCharType="end"/>
            </w:r>
          </w:hyperlink>
        </w:p>
        <w:p w:rsidR="00B70090" w:rsidRDefault="00A11BA4">
          <w:pPr>
            <w:pStyle w:val="Spistreci1"/>
            <w:tabs>
              <w:tab w:val="right" w:leader="dot" w:pos="9060"/>
            </w:tabs>
            <w:rPr>
              <w:rFonts w:eastAsiaTheme="minorEastAsia"/>
              <w:noProof/>
              <w:lang w:eastAsia="pl-PL"/>
            </w:rPr>
          </w:pPr>
          <w:hyperlink w:anchor="_Toc535839739" w:history="1">
            <w:r w:rsidR="00B70090" w:rsidRPr="000A0974">
              <w:rPr>
                <w:rStyle w:val="Hipercze"/>
                <w:b/>
                <w:noProof/>
              </w:rPr>
              <w:t>VI. MECHANIZM RACJONALNYCH USPRAWNIEŃ</w:t>
            </w:r>
            <w:r w:rsidR="00B70090">
              <w:rPr>
                <w:noProof/>
                <w:webHidden/>
              </w:rPr>
              <w:tab/>
            </w:r>
            <w:r w:rsidR="00B70090">
              <w:rPr>
                <w:noProof/>
                <w:webHidden/>
              </w:rPr>
              <w:fldChar w:fldCharType="begin"/>
            </w:r>
            <w:r w:rsidR="00B70090">
              <w:rPr>
                <w:noProof/>
                <w:webHidden/>
              </w:rPr>
              <w:instrText xml:space="preserve"> PAGEREF _Toc535839739 \h </w:instrText>
            </w:r>
            <w:r w:rsidR="00B70090">
              <w:rPr>
                <w:noProof/>
                <w:webHidden/>
              </w:rPr>
            </w:r>
            <w:r w:rsidR="00B70090">
              <w:rPr>
                <w:noProof/>
                <w:webHidden/>
              </w:rPr>
              <w:fldChar w:fldCharType="separate"/>
            </w:r>
            <w:r w:rsidR="009F40AB">
              <w:rPr>
                <w:noProof/>
                <w:webHidden/>
              </w:rPr>
              <w:t>20</w:t>
            </w:r>
            <w:r w:rsidR="00B70090">
              <w:rPr>
                <w:noProof/>
                <w:webHidden/>
              </w:rPr>
              <w:fldChar w:fldCharType="end"/>
            </w:r>
          </w:hyperlink>
        </w:p>
        <w:p w:rsidR="00B70090" w:rsidRDefault="00A11BA4">
          <w:pPr>
            <w:pStyle w:val="Spistreci1"/>
            <w:tabs>
              <w:tab w:val="left" w:pos="660"/>
              <w:tab w:val="right" w:leader="dot" w:pos="9060"/>
            </w:tabs>
            <w:rPr>
              <w:rFonts w:eastAsiaTheme="minorEastAsia"/>
              <w:noProof/>
              <w:lang w:eastAsia="pl-PL"/>
            </w:rPr>
          </w:pPr>
          <w:hyperlink w:anchor="_Toc535839740" w:history="1">
            <w:r w:rsidR="00B70090" w:rsidRPr="000A0974">
              <w:rPr>
                <w:rStyle w:val="Hipercze"/>
                <w:rFonts w:ascii="Calibri" w:hAnsi="Calibri"/>
                <w:b/>
                <w:noProof/>
              </w:rPr>
              <w:t>VII.</w:t>
            </w:r>
            <w:r w:rsidR="00B70090">
              <w:rPr>
                <w:rFonts w:eastAsiaTheme="minorEastAsia"/>
                <w:noProof/>
                <w:lang w:eastAsia="pl-PL"/>
              </w:rPr>
              <w:tab/>
            </w:r>
            <w:r w:rsidR="00B70090" w:rsidRPr="000A0974">
              <w:rPr>
                <w:rStyle w:val="Hipercze"/>
                <w:rFonts w:ascii="Calibri" w:hAnsi="Calibri"/>
                <w:b/>
                <w:noProof/>
              </w:rPr>
              <w:t>KATALOG CEN RYNKOWYCH</w:t>
            </w:r>
            <w:r w:rsidR="00B70090">
              <w:rPr>
                <w:noProof/>
                <w:webHidden/>
              </w:rPr>
              <w:tab/>
            </w:r>
            <w:r w:rsidR="00B70090">
              <w:rPr>
                <w:noProof/>
                <w:webHidden/>
              </w:rPr>
              <w:fldChar w:fldCharType="begin"/>
            </w:r>
            <w:r w:rsidR="00B70090">
              <w:rPr>
                <w:noProof/>
                <w:webHidden/>
              </w:rPr>
              <w:instrText xml:space="preserve"> PAGEREF _Toc535839740 \h </w:instrText>
            </w:r>
            <w:r w:rsidR="00B70090">
              <w:rPr>
                <w:noProof/>
                <w:webHidden/>
              </w:rPr>
            </w:r>
            <w:r w:rsidR="00B70090">
              <w:rPr>
                <w:noProof/>
                <w:webHidden/>
              </w:rPr>
              <w:fldChar w:fldCharType="separate"/>
            </w:r>
            <w:r w:rsidR="009F40AB">
              <w:rPr>
                <w:noProof/>
                <w:webHidden/>
              </w:rPr>
              <w:t>21</w:t>
            </w:r>
            <w:r w:rsidR="00B70090">
              <w:rPr>
                <w:noProof/>
                <w:webHidden/>
              </w:rPr>
              <w:fldChar w:fldCharType="end"/>
            </w:r>
          </w:hyperlink>
        </w:p>
        <w:p w:rsidR="00B70090" w:rsidRDefault="00A11BA4">
          <w:pPr>
            <w:pStyle w:val="Spistreci2"/>
            <w:rPr>
              <w:rFonts w:eastAsiaTheme="minorEastAsia"/>
              <w:noProof/>
              <w:lang w:eastAsia="pl-PL"/>
            </w:rPr>
          </w:pPr>
          <w:hyperlink w:anchor="_Toc535839741" w:history="1">
            <w:r w:rsidR="00B70090" w:rsidRPr="000A0974">
              <w:rPr>
                <w:rStyle w:val="Hipercze"/>
                <w:b/>
                <w:noProof/>
              </w:rPr>
              <w:t>VII.1.</w:t>
            </w:r>
            <w:r w:rsidR="00B70090">
              <w:rPr>
                <w:rFonts w:eastAsiaTheme="minorEastAsia"/>
                <w:noProof/>
                <w:lang w:eastAsia="pl-PL"/>
              </w:rPr>
              <w:tab/>
            </w:r>
            <w:r w:rsidR="00B70090" w:rsidRPr="000A0974">
              <w:rPr>
                <w:rStyle w:val="Hipercze"/>
                <w:b/>
                <w:noProof/>
              </w:rPr>
              <w:t>Personel projektu / wykonawca usługi</w:t>
            </w:r>
            <w:r w:rsidR="00B70090">
              <w:rPr>
                <w:noProof/>
                <w:webHidden/>
              </w:rPr>
              <w:tab/>
            </w:r>
            <w:r w:rsidR="00B70090">
              <w:rPr>
                <w:noProof/>
                <w:webHidden/>
              </w:rPr>
              <w:fldChar w:fldCharType="begin"/>
            </w:r>
            <w:r w:rsidR="00B70090">
              <w:rPr>
                <w:noProof/>
                <w:webHidden/>
              </w:rPr>
              <w:instrText xml:space="preserve"> PAGEREF _Toc535839741 \h </w:instrText>
            </w:r>
            <w:r w:rsidR="00B70090">
              <w:rPr>
                <w:noProof/>
                <w:webHidden/>
              </w:rPr>
            </w:r>
            <w:r w:rsidR="00B70090">
              <w:rPr>
                <w:noProof/>
                <w:webHidden/>
              </w:rPr>
              <w:fldChar w:fldCharType="separate"/>
            </w:r>
            <w:r w:rsidR="009F40AB">
              <w:rPr>
                <w:noProof/>
                <w:webHidden/>
              </w:rPr>
              <w:t>22</w:t>
            </w:r>
            <w:r w:rsidR="00B70090">
              <w:rPr>
                <w:noProof/>
                <w:webHidden/>
              </w:rPr>
              <w:fldChar w:fldCharType="end"/>
            </w:r>
          </w:hyperlink>
        </w:p>
        <w:p w:rsidR="00B70090" w:rsidRDefault="00A11BA4">
          <w:pPr>
            <w:pStyle w:val="Spistreci2"/>
            <w:rPr>
              <w:rFonts w:eastAsiaTheme="minorEastAsia"/>
              <w:noProof/>
              <w:lang w:eastAsia="pl-PL"/>
            </w:rPr>
          </w:pPr>
          <w:hyperlink w:anchor="_Toc535839742" w:history="1">
            <w:r w:rsidR="00B70090" w:rsidRPr="000A0974">
              <w:rPr>
                <w:rStyle w:val="Hipercze"/>
                <w:b/>
                <w:noProof/>
              </w:rPr>
              <w:t>VII.2.</w:t>
            </w:r>
            <w:r w:rsidR="00B70090">
              <w:rPr>
                <w:rFonts w:eastAsiaTheme="minorEastAsia"/>
                <w:noProof/>
                <w:lang w:eastAsia="pl-PL"/>
              </w:rPr>
              <w:tab/>
            </w:r>
            <w:r w:rsidR="00B70090" w:rsidRPr="000A0974">
              <w:rPr>
                <w:rStyle w:val="Hipercze"/>
                <w:b/>
                <w:noProof/>
              </w:rPr>
              <w:t>Towary i usługi</w:t>
            </w:r>
            <w:r w:rsidR="00B70090">
              <w:rPr>
                <w:noProof/>
                <w:webHidden/>
              </w:rPr>
              <w:tab/>
            </w:r>
            <w:r w:rsidR="00B70090">
              <w:rPr>
                <w:noProof/>
                <w:webHidden/>
              </w:rPr>
              <w:fldChar w:fldCharType="begin"/>
            </w:r>
            <w:r w:rsidR="00B70090">
              <w:rPr>
                <w:noProof/>
                <w:webHidden/>
              </w:rPr>
              <w:instrText xml:space="preserve"> PAGEREF _Toc535839742 \h </w:instrText>
            </w:r>
            <w:r w:rsidR="00B70090">
              <w:rPr>
                <w:noProof/>
                <w:webHidden/>
              </w:rPr>
            </w:r>
            <w:r w:rsidR="00B70090">
              <w:rPr>
                <w:noProof/>
                <w:webHidden/>
              </w:rPr>
              <w:fldChar w:fldCharType="separate"/>
            </w:r>
            <w:r w:rsidR="009F40AB">
              <w:rPr>
                <w:noProof/>
                <w:webHidden/>
              </w:rPr>
              <w:t>30</w:t>
            </w:r>
            <w:r w:rsidR="00B70090">
              <w:rPr>
                <w:noProof/>
                <w:webHidden/>
              </w:rPr>
              <w:fldChar w:fldCharType="end"/>
            </w:r>
          </w:hyperlink>
        </w:p>
        <w:p w:rsidR="00B70090" w:rsidRDefault="00A11BA4">
          <w:pPr>
            <w:pStyle w:val="Spistreci2"/>
            <w:rPr>
              <w:rFonts w:eastAsiaTheme="minorEastAsia"/>
              <w:noProof/>
              <w:lang w:eastAsia="pl-PL"/>
            </w:rPr>
          </w:pPr>
          <w:hyperlink w:anchor="_Toc535839743" w:history="1">
            <w:r w:rsidR="00B70090" w:rsidRPr="000A0974">
              <w:rPr>
                <w:rStyle w:val="Hipercze"/>
                <w:b/>
                <w:noProof/>
              </w:rPr>
              <w:t>VII.3.</w:t>
            </w:r>
            <w:r w:rsidR="00B70090">
              <w:rPr>
                <w:rFonts w:eastAsiaTheme="minorEastAsia"/>
                <w:noProof/>
                <w:lang w:eastAsia="pl-PL"/>
              </w:rPr>
              <w:tab/>
            </w:r>
            <w:r w:rsidR="00B70090" w:rsidRPr="000A0974">
              <w:rPr>
                <w:rStyle w:val="Hipercze"/>
                <w:b/>
                <w:noProof/>
              </w:rPr>
              <w:t>Szkolenia</w:t>
            </w:r>
            <w:r w:rsidR="00B70090">
              <w:rPr>
                <w:noProof/>
                <w:webHidden/>
              </w:rPr>
              <w:tab/>
            </w:r>
            <w:r w:rsidR="00B70090">
              <w:rPr>
                <w:noProof/>
                <w:webHidden/>
              </w:rPr>
              <w:fldChar w:fldCharType="begin"/>
            </w:r>
            <w:r w:rsidR="00B70090">
              <w:rPr>
                <w:noProof/>
                <w:webHidden/>
              </w:rPr>
              <w:instrText xml:space="preserve"> PAGEREF _Toc535839743 \h </w:instrText>
            </w:r>
            <w:r w:rsidR="00B70090">
              <w:rPr>
                <w:noProof/>
                <w:webHidden/>
              </w:rPr>
            </w:r>
            <w:r w:rsidR="00B70090">
              <w:rPr>
                <w:noProof/>
                <w:webHidden/>
              </w:rPr>
              <w:fldChar w:fldCharType="separate"/>
            </w:r>
            <w:r w:rsidR="009F40AB">
              <w:rPr>
                <w:noProof/>
                <w:webHidden/>
              </w:rPr>
              <w:t>40</w:t>
            </w:r>
            <w:r w:rsidR="00B70090">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472409154"/>
      <w:bookmarkStart w:id="2" w:name="_Toc53583972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bookmarkEnd w:id="2"/>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2C5520">
        <w:rPr>
          <w:rFonts w:eastAsia="Times New Roman" w:cs="Arial"/>
          <w:sz w:val="24"/>
          <w:szCs w:val="24"/>
          <w:lang w:eastAsia="pl-PL"/>
        </w:rPr>
        <w:t>3</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3" w:name="_Toc472409155"/>
      <w:bookmarkStart w:id="4" w:name="_Toc535839727"/>
      <w:r w:rsidRPr="007271CE">
        <w:rPr>
          <w:b/>
          <w:color w:val="auto"/>
          <w:sz w:val="28"/>
          <w:szCs w:val="28"/>
        </w:rPr>
        <w:t xml:space="preserve">II.   </w:t>
      </w:r>
      <w:r w:rsidR="003C0F70" w:rsidRPr="007271CE">
        <w:rPr>
          <w:b/>
          <w:color w:val="auto"/>
          <w:sz w:val="28"/>
          <w:szCs w:val="28"/>
        </w:rPr>
        <w:t>OGÓLNE ZASADY</w:t>
      </w:r>
      <w:bookmarkEnd w:id="3"/>
      <w:bookmarkEnd w:id="4"/>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905732">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5" w:name="_Toc472409156"/>
      <w:bookmarkStart w:id="6" w:name="_Toc535839728"/>
      <w:r w:rsidRPr="007271CE">
        <w:rPr>
          <w:b/>
          <w:color w:val="auto"/>
          <w:sz w:val="28"/>
          <w:szCs w:val="28"/>
        </w:rPr>
        <w:t xml:space="preserve">III.   </w:t>
      </w:r>
      <w:r w:rsidR="00F25B8A" w:rsidRPr="007271CE">
        <w:rPr>
          <w:b/>
          <w:color w:val="auto"/>
          <w:sz w:val="28"/>
          <w:szCs w:val="28"/>
        </w:rPr>
        <w:t>INSTRUMENTY AKTYWNEJ INTEGRACJI</w:t>
      </w:r>
      <w:bookmarkEnd w:id="5"/>
      <w:bookmarkEnd w:id="6"/>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7" w:name="_Toc472409157"/>
      <w:bookmarkStart w:id="8" w:name="_Toc535839729"/>
      <w:r w:rsidRPr="009C3563">
        <w:rPr>
          <w:b/>
          <w:color w:val="auto"/>
          <w:lang w:eastAsia="pl-PL"/>
        </w:rPr>
        <w:t>III.1.</w:t>
      </w:r>
      <w:r w:rsidRPr="009C3563">
        <w:rPr>
          <w:b/>
          <w:color w:val="auto"/>
          <w:lang w:eastAsia="pl-PL"/>
        </w:rPr>
        <w:tab/>
        <w:t>Instrumenty aktywizacji społecznej</w:t>
      </w:r>
      <w:bookmarkEnd w:id="7"/>
      <w:bookmarkEnd w:id="8"/>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9" w:name="_Toc472409158"/>
      <w:bookmarkStart w:id="10" w:name="_Toc535839730"/>
      <w:r w:rsidRPr="009C3563">
        <w:rPr>
          <w:b/>
          <w:color w:val="auto"/>
          <w:lang w:eastAsia="pl-PL"/>
        </w:rPr>
        <w:t>III.2.</w:t>
      </w:r>
      <w:r w:rsidRPr="009C3563">
        <w:rPr>
          <w:b/>
          <w:color w:val="auto"/>
          <w:lang w:eastAsia="pl-PL"/>
        </w:rPr>
        <w:tab/>
        <w:t xml:space="preserve">Instrumenty aktywizacji </w:t>
      </w:r>
      <w:bookmarkEnd w:id="9"/>
      <w:r w:rsidR="0090573F" w:rsidRPr="009C3563">
        <w:rPr>
          <w:b/>
          <w:color w:val="auto"/>
          <w:lang w:eastAsia="pl-PL"/>
        </w:rPr>
        <w:t>zawodowej</w:t>
      </w:r>
      <w:bookmarkEnd w:id="10"/>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1" w:name="_Toc472409159"/>
    </w:p>
    <w:p w:rsidR="0090573F" w:rsidRPr="009C3563" w:rsidRDefault="0090573F" w:rsidP="004C0E94">
      <w:pPr>
        <w:pStyle w:val="Nagwek2"/>
        <w:jc w:val="both"/>
        <w:rPr>
          <w:b/>
          <w:lang w:eastAsia="pl-PL"/>
        </w:rPr>
      </w:pPr>
      <w:bookmarkStart w:id="12" w:name="_Toc535839731"/>
      <w:r w:rsidRPr="009C3563">
        <w:rPr>
          <w:b/>
          <w:color w:val="auto"/>
          <w:lang w:eastAsia="pl-PL"/>
        </w:rPr>
        <w:t>III.3.</w:t>
      </w:r>
      <w:r w:rsidRPr="009C3563">
        <w:rPr>
          <w:b/>
          <w:color w:val="auto"/>
          <w:lang w:eastAsia="pl-PL"/>
        </w:rPr>
        <w:tab/>
        <w:t xml:space="preserve">Instrumenty aktywizacji </w:t>
      </w:r>
      <w:bookmarkEnd w:id="11"/>
      <w:r w:rsidRPr="009C3563">
        <w:rPr>
          <w:b/>
          <w:color w:val="auto"/>
          <w:lang w:eastAsia="pl-PL"/>
        </w:rPr>
        <w:t>edukacyjnej</w:t>
      </w:r>
      <w:bookmarkEnd w:id="12"/>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 w:name="_Toc472409160"/>
      <w:bookmarkStart w:id="14" w:name="_Toc535839732"/>
      <w:r w:rsidRPr="007271CE">
        <w:rPr>
          <w:b/>
          <w:color w:val="auto"/>
          <w:sz w:val="28"/>
          <w:szCs w:val="28"/>
        </w:rPr>
        <w:t>IV.</w:t>
      </w:r>
      <w:r w:rsidRPr="007271CE">
        <w:rPr>
          <w:b/>
          <w:color w:val="auto"/>
          <w:sz w:val="28"/>
          <w:szCs w:val="28"/>
        </w:rPr>
        <w:tab/>
        <w:t>ZASADY REALIZACJI NIEKTÓRYCH INSTRUMENTÓW AKTYWIZACJI ZAWODOWEJ</w:t>
      </w:r>
      <w:bookmarkEnd w:id="13"/>
      <w:bookmarkEnd w:id="14"/>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5"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6" w:name="_Toc535839733"/>
      <w:r w:rsidRPr="00890254">
        <w:rPr>
          <w:rFonts w:ascii="Calibri" w:hAnsi="Calibri"/>
          <w:sz w:val="24"/>
          <w:szCs w:val="24"/>
        </w:rPr>
        <w:t>IV.1.</w:t>
      </w:r>
      <w:r w:rsidRPr="00890254">
        <w:rPr>
          <w:rFonts w:ascii="Calibri" w:hAnsi="Calibri"/>
          <w:sz w:val="24"/>
          <w:szCs w:val="24"/>
        </w:rPr>
        <w:tab/>
        <w:t>Staże</w:t>
      </w:r>
      <w:bookmarkEnd w:id="15"/>
      <w:bookmarkEnd w:id="16"/>
    </w:p>
    <w:p w:rsidR="00DC69D3" w:rsidRPr="005944C4" w:rsidRDefault="005944C4" w:rsidP="005944C4">
      <w:pPr>
        <w:pStyle w:val="Normalny1"/>
        <w:numPr>
          <w:ilvl w:val="0"/>
          <w:numId w:val="32"/>
        </w:numPr>
        <w:jc w:val="left"/>
        <w:rPr>
          <w:rFonts w:ascii="Calibri" w:hAnsi="Calibri"/>
          <w:sz w:val="24"/>
          <w:szCs w:val="24"/>
        </w:rPr>
      </w:pPr>
      <w:bookmarkStart w:id="17"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sidR="00905732">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 xml:space="preserve"> podmiot przyjmujący na staż umożliwia stażyście ocenę programu stażu w formie pisemnej.</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rsidR="00C76517" w:rsidRPr="00890254" w:rsidRDefault="00C76517" w:rsidP="00C76517">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Pr>
          <w:rFonts w:ascii="Calibri" w:hAnsi="Calibri"/>
          <w:sz w:val="24"/>
          <w:szCs w:val="24"/>
        </w:rPr>
        <w:t xml:space="preserve"> - </w:t>
      </w:r>
      <w:r w:rsidRPr="000916F1">
        <w:rPr>
          <w:rFonts w:ascii="Calibri" w:hAnsi="Calibri"/>
          <w:sz w:val="24"/>
          <w:szCs w:val="24"/>
        </w:rPr>
        <w:t xml:space="preserve">należy wyliczyć </w:t>
      </w:r>
      <w:r>
        <w:rPr>
          <w:rFonts w:ascii="Calibri" w:hAnsi="Calibri"/>
          <w:sz w:val="24"/>
          <w:szCs w:val="24"/>
        </w:rPr>
        <w:t xml:space="preserve">je </w:t>
      </w:r>
      <w:r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Pr="00855FFC">
        <w:rPr>
          <w:rFonts w:ascii="Calibri" w:hAnsi="Calibri"/>
          <w:sz w:val="24"/>
          <w:szCs w:val="24"/>
        </w:rPr>
        <w:t xml:space="preserve">w </w:t>
      </w:r>
      <w:r w:rsidRPr="000916F1">
        <w:rPr>
          <w:rFonts w:ascii="Calibri" w:hAnsi="Calibri"/>
          <w:sz w:val="24"/>
          <w:szCs w:val="24"/>
        </w:rPr>
        <w:t>który</w:t>
      </w:r>
      <w:r w:rsidRPr="00855FFC">
        <w:rPr>
          <w:rFonts w:ascii="Calibri" w:hAnsi="Calibri"/>
          <w:sz w:val="24"/>
          <w:szCs w:val="24"/>
        </w:rPr>
        <w:t>m</w:t>
      </w:r>
      <w:r w:rsidRPr="000916F1">
        <w:rPr>
          <w:rFonts w:ascii="Calibri" w:hAnsi="Calibri"/>
          <w:sz w:val="24"/>
          <w:szCs w:val="24"/>
        </w:rPr>
        <w:t xml:space="preserve"> uczestnik odbywał staż. W przypadku przepracowania niepełnego miesiąca np. od 21 sierpnia należy posłużyć się wzorem 1850 / 31 x 11</w:t>
      </w:r>
      <w:r>
        <w:rPr>
          <w:rFonts w:ascii="Calibri" w:hAnsi="Calibri"/>
          <w:sz w:val="24"/>
          <w:szCs w:val="24"/>
        </w:rPr>
        <w:t xml:space="preserve"> (</w:t>
      </w:r>
      <w:r w:rsidRPr="00855FFC">
        <w:rPr>
          <w:rFonts w:ascii="Calibri" w:hAnsi="Calibri"/>
          <w:sz w:val="24"/>
          <w:szCs w:val="24"/>
        </w:rPr>
        <w:t xml:space="preserve">1 850,00 – przykładowa wysokość stypendium stażowego,31 -  liczba dni kalendarzowych w miesiącu sierpniu,11 – liczba dni kalendarzowych, która pozostała do końca miesiąca </w:t>
      </w:r>
      <w:r>
        <w:rPr>
          <w:rFonts w:ascii="Calibri" w:hAnsi="Calibri"/>
          <w:sz w:val="24"/>
          <w:szCs w:val="24"/>
        </w:rPr>
        <w:t xml:space="preserve">- </w:t>
      </w:r>
      <w:r w:rsidRPr="00855FFC">
        <w:rPr>
          <w:rFonts w:ascii="Calibri" w:hAnsi="Calibri"/>
          <w:sz w:val="24"/>
          <w:szCs w:val="24"/>
        </w:rPr>
        <w:t>liczba dni objęta stażem).</w:t>
      </w:r>
    </w:p>
    <w:p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E00F11">
        <w:rPr>
          <w:rFonts w:ascii="Calibri" w:hAnsi="Calibri"/>
          <w:sz w:val="24"/>
          <w:szCs w:val="24"/>
        </w:rPr>
        <w:lastRenderedPageBreak/>
        <w:t>publicznych (</w:t>
      </w:r>
      <w:r w:rsidR="00A809DA" w:rsidRPr="00855FFC">
        <w:rPr>
          <w:rFonts w:ascii="Calibri" w:hAnsi="Calibri" w:cs="Calibri"/>
          <w:sz w:val="24"/>
          <w:szCs w:val="24"/>
        </w:rPr>
        <w:t>składkę na ubezpieczenie zdrowotne obliczoną za poszczególne miesiące obniża się do wysokości 0,00 zł</w:t>
      </w:r>
      <w:r w:rsidRPr="00E00F11">
        <w:rPr>
          <w:rFonts w:ascii="Calibri" w:hAnsi="Calibri"/>
          <w:sz w:val="24"/>
          <w:szCs w:val="24"/>
        </w:rPr>
        <w:t>),</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8"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8"/>
      <w:r w:rsidRPr="00E00F11">
        <w:rPr>
          <w:rFonts w:ascii="Calibri" w:hAnsi="Calibri"/>
          <w:sz w:val="24"/>
          <w:szCs w:val="24"/>
        </w:rPr>
        <w:t>.</w:t>
      </w:r>
    </w:p>
    <w:p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rsidR="00021A50" w:rsidRDefault="00DC69D3" w:rsidP="00021A50">
      <w:pPr>
        <w:pStyle w:val="Normalny1"/>
        <w:numPr>
          <w:ilvl w:val="0"/>
          <w:numId w:val="32"/>
        </w:numPr>
        <w:jc w:val="left"/>
        <w:rPr>
          <w:rFonts w:ascii="Calibri" w:hAnsi="Calibri"/>
          <w:sz w:val="24"/>
          <w:szCs w:val="24"/>
        </w:rPr>
      </w:pPr>
      <w:bookmarkStart w:id="19"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9"/>
    <w:p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20"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bookmarkEnd w:id="20"/>
    </w:p>
    <w:p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sidR="00905732">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00905732">
        <w:rPr>
          <w:rFonts w:ascii="Calibri" w:hAnsi="Calibri"/>
          <w:sz w:val="24"/>
          <w:szCs w:val="24"/>
        </w:rPr>
        <w:t xml:space="preserve"> </w:t>
      </w:r>
      <w:r w:rsidRPr="00D9468B">
        <w:rPr>
          <w:rFonts w:ascii="Calibri" w:hAnsi="Calibri"/>
          <w:sz w:val="24"/>
          <w:szCs w:val="24"/>
        </w:rPr>
        <w:t>poniższych opcji i wynikają z założeń porozumienia w sprawie realizacji stażu:</w:t>
      </w:r>
    </w:p>
    <w:p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sidR="00905732">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rsidR="00DC69D3" w:rsidRPr="007673AE" w:rsidRDefault="007673AE" w:rsidP="007673AE">
      <w:pPr>
        <w:pStyle w:val="Normalny1"/>
        <w:numPr>
          <w:ilvl w:val="0"/>
          <w:numId w:val="32"/>
        </w:numPr>
        <w:rPr>
          <w:rFonts w:ascii="Calibri" w:hAnsi="Calibri"/>
          <w:sz w:val="24"/>
          <w:szCs w:val="24"/>
        </w:rPr>
      </w:pPr>
      <w:r w:rsidRPr="007673AE">
        <w:rPr>
          <w:rFonts w:ascii="Calibri" w:hAnsi="Calibri"/>
          <w:sz w:val="24"/>
          <w:szCs w:val="24"/>
        </w:rPr>
        <w:t>Wszystkie wydatki związane z organizacją stażu ponoszone przez podmiot przyjmujący uczestników projektu na staż rozliczane są w projekcie jako refundacja.</w:t>
      </w:r>
    </w:p>
    <w:p w:rsidR="0061109D" w:rsidRDefault="007673AE" w:rsidP="0061109D">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00905732">
        <w:rPr>
          <w:rFonts w:ascii="Calibri" w:hAnsi="Calibri"/>
          <w:sz w:val="24"/>
          <w:szCs w:val="24"/>
        </w:rPr>
        <w:t xml:space="preserve"> </w:t>
      </w:r>
      <w:r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rsidR="0061109D" w:rsidRDefault="004F3DA8" w:rsidP="00B32130">
      <w:pPr>
        <w:pStyle w:val="Normalny1"/>
        <w:numPr>
          <w:ilvl w:val="0"/>
          <w:numId w:val="32"/>
        </w:numPr>
        <w:ind w:left="426"/>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rsidR="004F3DA8" w:rsidRPr="0061109D" w:rsidRDefault="004F3DA8" w:rsidP="004F3DA8">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sidR="00905732">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rsidR="004F3DA8" w:rsidRPr="0061109D" w:rsidRDefault="004F3DA8" w:rsidP="00AB3F8E">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r w:rsidR="00905732">
        <w:rPr>
          <w:rFonts w:ascii="Calibri" w:hAnsi="Calibri"/>
          <w:sz w:val="24"/>
          <w:szCs w:val="24"/>
        </w:rPr>
        <w:t xml:space="preserve"> </w:t>
      </w:r>
      <w:r w:rsidRPr="0061109D">
        <w:rPr>
          <w:rFonts w:ascii="Calibri" w:hAnsi="Calibri"/>
          <w:sz w:val="24"/>
          <w:szCs w:val="24"/>
        </w:rPr>
        <w:t>przeprowadzanych przez organizatora stażu lub organy uprawnione.</w:t>
      </w:r>
    </w:p>
    <w:p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00905732">
        <w:rPr>
          <w:rFonts w:ascii="Calibri" w:hAnsi="Calibri"/>
          <w:b/>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905732">
        <w:rPr>
          <w:rFonts w:ascii="Calibri" w:hAnsi="Calibri"/>
          <w:sz w:val="24"/>
          <w:szCs w:val="24"/>
        </w:rPr>
        <w:t xml:space="preserve"> </w:t>
      </w:r>
      <w:r w:rsidRPr="00B23B14">
        <w:rPr>
          <w:rFonts w:ascii="Calibri" w:hAnsi="Calibri"/>
          <w:sz w:val="24"/>
          <w:szCs w:val="24"/>
        </w:rPr>
        <w:t xml:space="preserve">Wytycznych. </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rsidR="000C0628" w:rsidRPr="000C0628" w:rsidRDefault="00DC69D3" w:rsidP="000C0628">
      <w:pPr>
        <w:pStyle w:val="Normalny1"/>
        <w:numPr>
          <w:ilvl w:val="0"/>
          <w:numId w:val="32"/>
        </w:numPr>
        <w:rPr>
          <w:rFonts w:ascii="Calibri" w:hAnsi="Calibri"/>
          <w:sz w:val="24"/>
          <w:szCs w:val="24"/>
        </w:rPr>
      </w:pPr>
      <w:r w:rsidRPr="000C0628">
        <w:rPr>
          <w:rFonts w:ascii="Calibri" w:hAnsi="Calibri"/>
          <w:sz w:val="24"/>
          <w:szCs w:val="24"/>
        </w:rPr>
        <w:t xml:space="preserve">Katalog wydatków przewidzianych w ramach projektu może uwzględniać koszty inne niż </w:t>
      </w:r>
      <w:r w:rsidR="000C0628" w:rsidRPr="000C0628">
        <w:rPr>
          <w:rFonts w:ascii="Calibri" w:hAnsi="Calibri"/>
          <w:sz w:val="24"/>
          <w:szCs w:val="24"/>
        </w:rPr>
        <w:t xml:space="preserve">koszty stypendium, opieki i opiekuna stażysty, związane z odbywaniem stażu (np. koszty dojazdu, koszty niezbędnych materiałów dla stażysty, szkolenia BHP stażysty itp.) w wysokości nieprzekraczającej </w:t>
      </w:r>
      <w:r w:rsidR="000C0628" w:rsidRPr="000C0628">
        <w:rPr>
          <w:rFonts w:ascii="Calibri" w:hAnsi="Calibri"/>
          <w:b/>
          <w:sz w:val="24"/>
          <w:szCs w:val="24"/>
        </w:rPr>
        <w:t>5 000,00 zł</w:t>
      </w:r>
      <w:r w:rsidR="000C0628" w:rsidRPr="000C0628">
        <w:rPr>
          <w:rFonts w:ascii="Calibri" w:hAnsi="Calibri"/>
          <w:sz w:val="24"/>
          <w:szCs w:val="24"/>
        </w:rPr>
        <w:t xml:space="preserve"> brutto na 1 stażystę. </w:t>
      </w:r>
    </w:p>
    <w:p w:rsidR="009C73FE" w:rsidRPr="000C0628" w:rsidRDefault="0092697B" w:rsidP="00805948">
      <w:pPr>
        <w:pStyle w:val="Normalny1"/>
        <w:numPr>
          <w:ilvl w:val="0"/>
          <w:numId w:val="32"/>
        </w:numPr>
        <w:rPr>
          <w:rFonts w:ascii="Calibri" w:hAnsi="Calibri"/>
          <w:sz w:val="24"/>
          <w:szCs w:val="24"/>
        </w:rPr>
      </w:pPr>
      <w:r w:rsidRPr="000C0628">
        <w:rPr>
          <w:rFonts w:ascii="Calibri" w:hAnsi="Calibri"/>
          <w:sz w:val="24"/>
          <w:szCs w:val="24"/>
        </w:rPr>
        <w:t xml:space="preserve">W ramach projektu niekwalifikowane są koszt związane z doposażeniem miejsca stażowego za wyjątkiem </w:t>
      </w:r>
      <w:r w:rsidR="000C0399" w:rsidRPr="000C0628">
        <w:rPr>
          <w:rFonts w:ascii="Calibri" w:hAnsi="Calibri"/>
          <w:sz w:val="24"/>
          <w:szCs w:val="24"/>
        </w:rPr>
        <w:t>kosztów niezbędnych materiałów zużywalnych dla stażysty.</w:t>
      </w:r>
    </w:p>
    <w:p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00905732">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rsidR="00317A29"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rsidR="00317A29" w:rsidRDefault="000C0628" w:rsidP="009A6DE6">
      <w:pPr>
        <w:pStyle w:val="Normalny1"/>
        <w:numPr>
          <w:ilvl w:val="0"/>
          <w:numId w:val="32"/>
        </w:numPr>
        <w:rPr>
          <w:rFonts w:ascii="Calibri" w:hAnsi="Calibri"/>
          <w:sz w:val="24"/>
          <w:szCs w:val="24"/>
        </w:rPr>
      </w:pPr>
      <w:r w:rsidRPr="000E15B3">
        <w:rPr>
          <w:rFonts w:ascii="Calibri" w:hAnsi="Calibri"/>
          <w:sz w:val="24"/>
          <w:szCs w:val="24"/>
        </w:rPr>
        <w:t>Wydatki mogą być ponoszone wyłącznie przez beneficjenta w uzgodnieniu z podmiotem przyjmującym na staż. Tym samym, nie ma możliwości dokonywania przez beneficjenta refundacji ww. wydatków podmiotowi przyjmującemu na staż.</w:t>
      </w:r>
    </w:p>
    <w:p w:rsidR="00DC69D3" w:rsidRPr="00DC6843" w:rsidRDefault="000C0628" w:rsidP="009A6DE6">
      <w:pPr>
        <w:pStyle w:val="Normalny1"/>
        <w:numPr>
          <w:ilvl w:val="0"/>
          <w:numId w:val="32"/>
        </w:numPr>
        <w:rPr>
          <w:rFonts w:ascii="Calibri" w:hAnsi="Calibri"/>
          <w:sz w:val="24"/>
          <w:szCs w:val="24"/>
        </w:rPr>
      </w:pPr>
      <w:r w:rsidRPr="000C0628">
        <w:rPr>
          <w:rFonts w:ascii="Calibri" w:hAnsi="Calibri"/>
          <w:sz w:val="24"/>
          <w:szCs w:val="24"/>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1" w:name="_Toc490645126"/>
      <w:bookmarkStart w:id="22" w:name="_Toc535839734"/>
      <w:r w:rsidRPr="00890254">
        <w:rPr>
          <w:rFonts w:ascii="Calibri" w:hAnsi="Calibri"/>
          <w:sz w:val="24"/>
          <w:szCs w:val="24"/>
        </w:rPr>
        <w:t>IV.2.</w:t>
      </w:r>
      <w:r w:rsidRPr="00890254">
        <w:rPr>
          <w:rFonts w:ascii="Calibri" w:hAnsi="Calibri"/>
          <w:sz w:val="24"/>
          <w:szCs w:val="24"/>
        </w:rPr>
        <w:tab/>
        <w:t>Szkolenia</w:t>
      </w:r>
      <w:bookmarkEnd w:id="21"/>
      <w:bookmarkEnd w:id="22"/>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w:t>
      </w:r>
      <w:r w:rsidRPr="00890254">
        <w:rPr>
          <w:rFonts w:cs="Arial"/>
          <w:sz w:val="24"/>
          <w:szCs w:val="24"/>
        </w:rPr>
        <w:lastRenderedPageBreak/>
        <w:t>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lastRenderedPageBreak/>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w:t>
      </w:r>
      <w:r w:rsidRPr="00AA5582">
        <w:rPr>
          <w:rFonts w:ascii="Calibri" w:hAnsi="Calibri"/>
          <w:sz w:val="24"/>
          <w:szCs w:val="24"/>
        </w:rPr>
        <w:lastRenderedPageBreak/>
        <w:t>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3" w:name="_Toc490645127"/>
      <w:bookmarkStart w:id="24" w:name="_Toc535839735"/>
      <w:bookmarkStart w:id="25" w:name="_Hlk490643338"/>
      <w:r w:rsidRPr="00890254">
        <w:rPr>
          <w:rFonts w:ascii="Calibri" w:hAnsi="Calibri"/>
          <w:sz w:val="24"/>
          <w:szCs w:val="24"/>
        </w:rPr>
        <w:t>IV.3.</w:t>
      </w:r>
      <w:r w:rsidRPr="00890254">
        <w:rPr>
          <w:rFonts w:ascii="Calibri" w:hAnsi="Calibri"/>
          <w:sz w:val="24"/>
          <w:szCs w:val="24"/>
        </w:rPr>
        <w:tab/>
        <w:t>Zatrudnienie wspomagane</w:t>
      </w:r>
      <w:bookmarkEnd w:id="23"/>
      <w:bookmarkEnd w:id="24"/>
    </w:p>
    <w:bookmarkEnd w:id="25"/>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6" w:name="_Toc490645128"/>
      <w:bookmarkStart w:id="27" w:name="_Toc535839736"/>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6"/>
      <w:bookmarkEnd w:id="27"/>
    </w:p>
    <w:p w:rsidR="00DC69D3" w:rsidRPr="00DC69D3" w:rsidRDefault="00DC69D3" w:rsidP="00DC69D3">
      <w:pPr>
        <w:spacing w:line="276" w:lineRule="auto"/>
        <w:ind w:left="425"/>
        <w:rPr>
          <w:sz w:val="24"/>
          <w:szCs w:val="24"/>
        </w:rPr>
      </w:pPr>
      <w:r w:rsidRPr="00DC69D3">
        <w:rPr>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t>
      </w:r>
    </w:p>
    <w:p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8" w:name="_Toc490645129"/>
      <w:bookmarkStart w:id="29" w:name="_Toc535839737"/>
      <w:r w:rsidRPr="00CD0B21">
        <w:rPr>
          <w:rFonts w:eastAsia="Times New Roman" w:cs="Arial"/>
          <w:b/>
          <w:bCs/>
          <w:sz w:val="24"/>
          <w:szCs w:val="24"/>
        </w:rPr>
        <w:lastRenderedPageBreak/>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8"/>
      <w:bookmarkEnd w:id="29"/>
    </w:p>
    <w:p w:rsidR="00954C51" w:rsidRPr="00E16973" w:rsidRDefault="00954C51" w:rsidP="00954C51">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rsidR="00954C51" w:rsidRPr="00E16973" w:rsidRDefault="00954C51" w:rsidP="00954C51">
      <w:pPr>
        <w:spacing w:line="276" w:lineRule="auto"/>
        <w:ind w:left="426"/>
        <w:rPr>
          <w:sz w:val="24"/>
          <w:szCs w:val="24"/>
        </w:rPr>
      </w:pPr>
      <w:r w:rsidRPr="00E16973">
        <w:rPr>
          <w:sz w:val="24"/>
          <w:szCs w:val="24"/>
        </w:rPr>
        <w:t>Refundacji dokonuje się na wniosek pracodawcy zawierający:</w:t>
      </w:r>
    </w:p>
    <w:p w:rsidR="00954C51" w:rsidRPr="00E16973" w:rsidRDefault="00954C51" w:rsidP="00954C51">
      <w:pPr>
        <w:spacing w:line="276" w:lineRule="auto"/>
        <w:ind w:left="426"/>
        <w:rPr>
          <w:sz w:val="24"/>
          <w:szCs w:val="24"/>
        </w:rPr>
      </w:pPr>
      <w:r w:rsidRPr="00E16973">
        <w:rPr>
          <w:sz w:val="24"/>
          <w:szCs w:val="24"/>
        </w:rPr>
        <w:t>a)</w:t>
      </w:r>
      <w:r w:rsidRPr="00E16973">
        <w:rPr>
          <w:sz w:val="24"/>
          <w:szCs w:val="24"/>
        </w:rPr>
        <w:tab/>
        <w:t xml:space="preserve">kalkulację wydatków </w:t>
      </w:r>
      <w:r w:rsidRPr="00465475">
        <w:rPr>
          <w:sz w:val="24"/>
          <w:szCs w:val="24"/>
        </w:rPr>
        <w:t>netto (tj. bez podatku VAT)</w:t>
      </w:r>
      <w:r>
        <w:rPr>
          <w:sz w:val="24"/>
          <w:szCs w:val="24"/>
        </w:rPr>
        <w:t xml:space="preserve"> </w:t>
      </w:r>
      <w:r w:rsidRPr="00E16973">
        <w:rPr>
          <w:sz w:val="24"/>
          <w:szCs w:val="24"/>
        </w:rPr>
        <w:t>na wyposażenie lub doposażenie poszczególnych stanowisk pracy,</w:t>
      </w:r>
    </w:p>
    <w:p w:rsidR="00954C51" w:rsidRPr="00E16973" w:rsidRDefault="00954C51">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954C51" w:rsidRPr="00E16973" w:rsidRDefault="00954C51" w:rsidP="00954C51">
      <w:pPr>
        <w:spacing w:line="276" w:lineRule="auto"/>
        <w:ind w:left="426"/>
        <w:rPr>
          <w:sz w:val="24"/>
          <w:szCs w:val="24"/>
        </w:rPr>
      </w:pPr>
      <w:r w:rsidRPr="00E16973">
        <w:rPr>
          <w:sz w:val="24"/>
          <w:szCs w:val="24"/>
        </w:rPr>
        <w:t xml:space="preserve">W przypadku uwzględnienia </w:t>
      </w:r>
      <w:r w:rsidRPr="00465475">
        <w:rPr>
          <w:sz w:val="24"/>
          <w:szCs w:val="24"/>
        </w:rPr>
        <w:t xml:space="preserve">przez Beneficjenta </w:t>
      </w:r>
      <w:r w:rsidRPr="00E16973">
        <w:rPr>
          <w:sz w:val="24"/>
          <w:szCs w:val="24"/>
        </w:rPr>
        <w:t xml:space="preserve">wniosku </w:t>
      </w:r>
      <w:r w:rsidRPr="00465475">
        <w:rPr>
          <w:sz w:val="24"/>
          <w:szCs w:val="24"/>
        </w:rPr>
        <w:t>o udzielenie refundacji,</w:t>
      </w:r>
      <w:r w:rsidRPr="00E16973">
        <w:rPr>
          <w:sz w:val="24"/>
          <w:szCs w:val="24"/>
        </w:rPr>
        <w:t xml:space="preserve"> między Beneficjentem a pracodawcą</w:t>
      </w:r>
      <w:r>
        <w:rPr>
          <w:sz w:val="24"/>
          <w:szCs w:val="24"/>
        </w:rPr>
        <w:t xml:space="preserve"> </w:t>
      </w:r>
      <w:r w:rsidRPr="00465475">
        <w:rPr>
          <w:sz w:val="24"/>
          <w:szCs w:val="24"/>
        </w:rPr>
        <w:t>zawierana jest umowa</w:t>
      </w:r>
      <w:r w:rsidRPr="00E16973">
        <w:rPr>
          <w:sz w:val="24"/>
          <w:szCs w:val="24"/>
        </w:rPr>
        <w:t xml:space="preserve">. </w:t>
      </w:r>
      <w:r w:rsidRPr="00465475">
        <w:rPr>
          <w:sz w:val="24"/>
          <w:szCs w:val="24"/>
        </w:rPr>
        <w:t xml:space="preserve"> Umowa określa warunki wydatkowania i rozliczenia środków z uwzględnieniem poniższych zasad.</w:t>
      </w:r>
    </w:p>
    <w:p w:rsidR="00954C51" w:rsidRPr="00E16973" w:rsidRDefault="00954C51" w:rsidP="00954C51">
      <w:pPr>
        <w:spacing w:line="276" w:lineRule="auto"/>
        <w:ind w:left="426"/>
        <w:rPr>
          <w:sz w:val="24"/>
          <w:szCs w:val="24"/>
        </w:rPr>
      </w:pPr>
      <w:r w:rsidRPr="00465475">
        <w:rPr>
          <w:sz w:val="24"/>
          <w:szCs w:val="24"/>
        </w:rPr>
        <w:t>Refundacja kosztów wyposażenia lub doposażenia stanowiska pracy jest dokonywana na podstawie rozliczenia przedkładanego przez pracodawcę, zawierającego zestawienie poniesionych wydatków, sporządzonych w oparciu o dokumenty księgowe. Refundacja ze środków projektu jest dokonywana wyłącznie w kwocie netto, bez względu na status podatkowy pracodawcy.</w:t>
      </w: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30" w:name="_Toc535839738"/>
      <w:r>
        <w:rPr>
          <w:b/>
          <w:sz w:val="28"/>
          <w:szCs w:val="28"/>
        </w:rPr>
        <w:t xml:space="preserve">V. </w:t>
      </w:r>
      <w:r w:rsidR="00BB3CB3" w:rsidRPr="00BB3CB3">
        <w:rPr>
          <w:rFonts w:eastAsia="Times New Roman" w:cs="Arial"/>
          <w:b/>
          <w:bCs/>
          <w:sz w:val="28"/>
          <w:szCs w:val="26"/>
        </w:rPr>
        <w:t>KOSZTY DOJAZDU UCZESTNIKA PROEJKTU/PERSONELU PROEJKTU</w:t>
      </w:r>
      <w:bookmarkEnd w:id="30"/>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lastRenderedPageBreak/>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lastRenderedPageBreak/>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31" w:name="_Toc535839739"/>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7"/>
      <w:bookmarkEnd w:id="31"/>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2" w:name="_Toc472409165"/>
      <w:bookmarkStart w:id="33" w:name="_Toc535839740"/>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2"/>
      <w:bookmarkEnd w:id="33"/>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t>
      </w:r>
      <w:r w:rsidRPr="001B3CAF">
        <w:rPr>
          <w:rFonts w:ascii="Calibri" w:eastAsia="Calibri" w:hAnsi="Calibri" w:cs="Arial"/>
          <w:sz w:val="24"/>
          <w:szCs w:val="24"/>
          <w:lang w:eastAsia="zh-CN"/>
        </w:rPr>
        <w:lastRenderedPageBreak/>
        <w:t xml:space="preserve">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Przedstawione poniżej kwoty zawierają  podatek od towarów i usług VAT. W przypadku niekwalfikowania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4" w:name="_Toc472409166"/>
      <w:bookmarkStart w:id="35" w:name="_Toc535839741"/>
      <w:r w:rsidRPr="007271CE">
        <w:rPr>
          <w:b/>
          <w:color w:val="auto"/>
        </w:rPr>
        <w:t>VI</w:t>
      </w:r>
      <w:r w:rsidR="004D77E1">
        <w:rPr>
          <w:b/>
          <w:color w:val="auto"/>
        </w:rPr>
        <w:t>I</w:t>
      </w:r>
      <w:r w:rsidRPr="007271CE">
        <w:rPr>
          <w:b/>
          <w:color w:val="auto"/>
        </w:rPr>
        <w:t>.1.</w:t>
      </w:r>
      <w:r w:rsidRPr="007271CE">
        <w:rPr>
          <w:b/>
          <w:color w:val="auto"/>
        </w:rPr>
        <w:tab/>
        <w:t>Personel projektu</w:t>
      </w:r>
      <w:bookmarkEnd w:id="34"/>
      <w:r w:rsidR="00E94B37">
        <w:rPr>
          <w:b/>
          <w:color w:val="auto"/>
        </w:rPr>
        <w:t xml:space="preserve"> / wykonawca usługi</w:t>
      </w:r>
      <w:bookmarkEnd w:id="35"/>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lastRenderedPageBreak/>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w:t>
            </w:r>
            <w:r w:rsidRPr="001B658C">
              <w:rPr>
                <w:rFonts w:eastAsia="Times New Roman" w:cs="Arial"/>
                <w:sz w:val="24"/>
                <w:szCs w:val="24"/>
                <w:lang w:eastAsia="pl-PL"/>
              </w:rPr>
              <w:lastRenderedPageBreak/>
              <w:t xml:space="preserve">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t>Wynagrodzenie zgodne ze stawkami stosowanymi u 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w:t>
            </w:r>
            <w:r w:rsidRPr="001B658C">
              <w:rPr>
                <w:rFonts w:eastAsia="Times New Roman" w:cs="Arial"/>
                <w:sz w:val="24"/>
                <w:szCs w:val="24"/>
                <w:lang w:eastAsia="pl-PL"/>
              </w:rPr>
              <w:lastRenderedPageBreak/>
              <w:t xml:space="preserve">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Wydatek kwalifikowalny, o ile socjoterapeuta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 oraz</w:t>
            </w:r>
            <w:r w:rsidR="00AF4B2A" w:rsidRPr="001B658C">
              <w:rPr>
                <w:rFonts w:eastAsia="Times New Roman" w:cs="Arial"/>
                <w:sz w:val="24"/>
                <w:szCs w:val="24"/>
                <w:lang w:eastAsia="pl-PL"/>
              </w:rPr>
              <w:t xml:space="preserve">doświadczenie zawodowe umożliwiające </w:t>
            </w:r>
            <w:r w:rsidR="00AF4B2A" w:rsidRPr="001B658C">
              <w:rPr>
                <w:rFonts w:eastAsia="Times New Roman" w:cs="Arial"/>
                <w:sz w:val="24"/>
                <w:szCs w:val="24"/>
                <w:lang w:eastAsia="pl-PL"/>
              </w:rPr>
              <w:lastRenderedPageBreak/>
              <w:t>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(preferowane pedagogika, psychologia, socjologia) i/lub </w:t>
            </w:r>
            <w:r w:rsidRPr="001B658C">
              <w:rPr>
                <w:rFonts w:eastAsia="Times New Roman" w:cs="Arial"/>
                <w:sz w:val="24"/>
                <w:szCs w:val="24"/>
                <w:lang w:eastAsia="pl-PL"/>
              </w:rPr>
              <w:lastRenderedPageBreak/>
              <w:t>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lastRenderedPageBreak/>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w:t>
            </w:r>
            <w:r w:rsidRPr="001B658C">
              <w:rPr>
                <w:rFonts w:eastAsia="Times New Roman" w:cs="Arial"/>
                <w:sz w:val="24"/>
                <w:szCs w:val="24"/>
                <w:lang w:eastAsia="pl-PL"/>
              </w:rPr>
              <w:lastRenderedPageBreak/>
              <w:t xml:space="preserve">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(minimum roczne) w realizacji usług asystenckich, w tym zawodowe, wolontariackie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lastRenderedPageBreak/>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Wydatek kwalifikowalny pod warunkiem ukończenia kształcenie w zawodzie asystenta osoby niepełnosprawnej zgodnie z rozporządzeniem Ministra Edukacji Narodowej z dnia 7 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6" w:name="_Toc508113453"/>
      <w:bookmarkStart w:id="37" w:name="_Toc535839742"/>
      <w:r w:rsidRPr="007271CE">
        <w:rPr>
          <w:b/>
          <w:color w:val="auto"/>
        </w:rPr>
        <w:t>VI</w:t>
      </w:r>
      <w:r>
        <w:rPr>
          <w:b/>
          <w:color w:val="auto"/>
        </w:rPr>
        <w:t>I</w:t>
      </w:r>
      <w:r w:rsidRPr="007271CE">
        <w:rPr>
          <w:b/>
          <w:color w:val="auto"/>
        </w:rPr>
        <w:t>.2.</w:t>
      </w:r>
      <w:r w:rsidRPr="007271CE">
        <w:rPr>
          <w:b/>
          <w:color w:val="auto"/>
        </w:rPr>
        <w:tab/>
        <w:t>Towary i usługi</w:t>
      </w:r>
      <w:bookmarkEnd w:id="36"/>
      <w:bookmarkEnd w:id="37"/>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lastRenderedPageBreak/>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 xml:space="preserve">obejmuje kawę, herbatę, wodę, soki, mleko, cukier, cytryna,  drobne słone lub słodkie przekąski typu paluszki lub kruche ciastka lub owoce, kanapki, przekąski koktajlowe, przy czym istnieje możliwość szerszego zakresu usługi, </w:t>
            </w:r>
            <w:r w:rsidRPr="002024DD">
              <w:rPr>
                <w:rFonts w:cs="Arial"/>
                <w:sz w:val="24"/>
                <w:szCs w:val="24"/>
              </w:rPr>
              <w:lastRenderedPageBreak/>
              <w:t>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lastRenderedPageBreak/>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suchościeralne, bezprzewodowy dostęp </w:t>
            </w:r>
            <w:r w:rsidRPr="001B658C">
              <w:rPr>
                <w:rFonts w:eastAsia="Times New Roman" w:cs="Arial"/>
                <w:sz w:val="24"/>
                <w:szCs w:val="24"/>
                <w:lang w:eastAsia="pl-PL"/>
              </w:rPr>
              <w:lastRenderedPageBreak/>
              <w:t>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stoły, krzesła,  tablice flipchart lub tablice suchościeralne,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w:t>
            </w:r>
            <w:r w:rsidRPr="001B658C">
              <w:rPr>
                <w:rFonts w:eastAsia="Times New Roman" w:cs="Arial"/>
                <w:color w:val="000000"/>
                <w:sz w:val="24"/>
                <w:szCs w:val="24"/>
                <w:lang w:eastAsia="pl-PL"/>
              </w:rPr>
              <w:lastRenderedPageBreak/>
              <w:t>architektonicznych), przy czym obowiązek ten nie dotyczy udostępnienia sal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obejmuje wynajem krótkoterminowy (w przypadku wynajmu sal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o ile laptop posiada parametry biurowe z oprogramowaniem systemowym i </w:t>
            </w:r>
            <w:r w:rsidRPr="00CE19C4">
              <w:rPr>
                <w:rFonts w:eastAsia="Times New Roman" w:cs="Arial"/>
                <w:color w:val="000000"/>
                <w:sz w:val="24"/>
                <w:szCs w:val="24"/>
                <w:lang w:eastAsia="pl-PL"/>
              </w:rPr>
              <w:lastRenderedPageBreak/>
              <w:t>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lastRenderedPageBreak/>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w:t>
            </w:r>
            <w:r w:rsidRPr="001B658C">
              <w:rPr>
                <w:rFonts w:eastAsia="Times New Roman" w:cs="Arial"/>
                <w:sz w:val="24"/>
                <w:szCs w:val="24"/>
                <w:lang w:eastAsia="pl-PL"/>
              </w:rPr>
              <w:lastRenderedPageBreak/>
              <w:t xml:space="preserve">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koszty dojazdu, koszty wyposażenia stanowiska  pracy w niezbędne </w:t>
            </w:r>
            <w:r w:rsidRPr="001B658C">
              <w:rPr>
                <w:rFonts w:eastAsia="Times New Roman" w:cs="Arial"/>
                <w:color w:val="000000"/>
                <w:sz w:val="24"/>
                <w:szCs w:val="24"/>
                <w:lang w:eastAsia="pl-PL"/>
              </w:rPr>
              <w:lastRenderedPageBreak/>
              <w:t>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ydatki mogą być ponoszone wyłącznie przez beneficjenta w uzgodnieniu z podmiotem przyjmującym na staż. Tym samym, nie ma możliwości dokonywania 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w:t>
            </w:r>
            <w:r w:rsidRPr="00855FFC">
              <w:rPr>
                <w:sz w:val="24"/>
                <w:szCs w:val="24"/>
              </w:rPr>
              <w:lastRenderedPageBreak/>
              <w:t>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(all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lastRenderedPageBreak/>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lastRenderedPageBreak/>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24 zł/zestaw z pendrivem</w:t>
            </w:r>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8" w:name="_Toc508113454"/>
      <w:bookmarkStart w:id="39" w:name="_Toc535839743"/>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8"/>
      <w:bookmarkEnd w:id="39"/>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8"/>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 xml:space="preserve">Maksymalna cena rynkowa za szkolenie </w:t>
            </w:r>
            <w:r w:rsidRPr="0092437E">
              <w:rPr>
                <w:rFonts w:eastAsia="Times New Roman" w:cs="Arial"/>
                <w:b/>
                <w:lang w:eastAsia="pl-PL"/>
              </w:rPr>
              <w:lastRenderedPageBreak/>
              <w:t>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t>
            </w:r>
            <w:r w:rsidRPr="0092437E">
              <w:rPr>
                <w:rFonts w:cs="Arial"/>
              </w:rPr>
              <w:lastRenderedPageBreak/>
              <w:t xml:space="preserve">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lastRenderedPageBreak/>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0" w:name="_Toc472590491"/>
      <w:bookmarkStart w:id="41" w:name="_Toc472590676"/>
      <w:bookmarkStart w:id="42" w:name="_Toc472591169"/>
      <w:bookmarkStart w:id="43" w:name="_Toc472591291"/>
      <w:bookmarkStart w:id="44" w:name="_Toc472591395"/>
      <w:bookmarkStart w:id="45" w:name="_Toc472591515"/>
      <w:bookmarkStart w:id="46" w:name="_Toc472591546"/>
      <w:bookmarkStart w:id="47" w:name="_Toc472591663"/>
      <w:bookmarkStart w:id="48" w:name="_Toc472591830"/>
      <w:bookmarkStart w:id="49" w:name="_Toc472591983"/>
      <w:bookmarkStart w:id="50" w:name="_Toc472592310"/>
      <w:bookmarkStart w:id="51" w:name="_Toc473010468"/>
      <w:bookmarkStart w:id="52" w:name="_Toc473193640"/>
      <w:bookmarkStart w:id="53" w:name="_Toc477160773"/>
      <w:bookmarkStart w:id="54" w:name="_Toc477516109"/>
      <w:bookmarkStart w:id="55" w:name="_Toc477516127"/>
      <w:bookmarkStart w:id="56" w:name="_Toc477858842"/>
      <w:bookmarkStart w:id="57" w:name="_Toc477860592"/>
      <w:bookmarkStart w:id="58" w:name="_Toc477875049"/>
      <w:bookmarkStart w:id="59" w:name="_Toc472590492"/>
      <w:bookmarkStart w:id="60" w:name="_Toc472590677"/>
      <w:bookmarkStart w:id="61" w:name="_Toc472591170"/>
      <w:bookmarkStart w:id="62" w:name="_Toc472591292"/>
      <w:bookmarkStart w:id="63" w:name="_Toc472591396"/>
      <w:bookmarkStart w:id="64" w:name="_Toc472591516"/>
      <w:bookmarkStart w:id="65" w:name="_Toc472591547"/>
      <w:bookmarkStart w:id="66" w:name="_Toc472591664"/>
      <w:bookmarkStart w:id="67" w:name="_Toc472591831"/>
      <w:bookmarkStart w:id="68" w:name="_Toc472591984"/>
      <w:bookmarkStart w:id="69" w:name="_Toc472592311"/>
      <w:bookmarkStart w:id="70" w:name="_Toc473010469"/>
      <w:bookmarkStart w:id="71" w:name="_Toc473193641"/>
      <w:bookmarkStart w:id="72" w:name="_Toc477160774"/>
      <w:bookmarkStart w:id="73" w:name="_Toc477516110"/>
      <w:bookmarkStart w:id="74" w:name="_Toc477516128"/>
      <w:bookmarkStart w:id="75" w:name="_Toc477858843"/>
      <w:bookmarkStart w:id="76" w:name="_Toc477860593"/>
      <w:bookmarkStart w:id="77" w:name="_Toc47787505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48" w:rsidRDefault="00805948" w:rsidP="00FC65E2">
      <w:pPr>
        <w:spacing w:after="0" w:line="240" w:lineRule="auto"/>
      </w:pPr>
      <w:r>
        <w:separator/>
      </w:r>
    </w:p>
  </w:endnote>
  <w:endnote w:type="continuationSeparator" w:id="0">
    <w:p w:rsidR="00805948" w:rsidRDefault="00805948"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948" w:rsidRPr="00E00F11" w:rsidRDefault="00805948">
    <w:pPr>
      <w:pStyle w:val="Stopka"/>
      <w:rPr>
        <w:sz w:val="24"/>
        <w:szCs w:val="24"/>
      </w:rPr>
    </w:pPr>
    <w:r w:rsidRPr="00E00F11">
      <w:rPr>
        <w:sz w:val="24"/>
        <w:szCs w:val="24"/>
      </w:rPr>
      <w:t xml:space="preserve">Konkurs nr </w:t>
    </w:r>
    <w:r w:rsidR="00A11BA4">
      <w:rPr>
        <w:b/>
        <w:sz w:val="24"/>
        <w:szCs w:val="24"/>
      </w:rPr>
      <w:t>RPLD.09.01.01-IP.01-10-003</w:t>
    </w:r>
    <w:r>
      <w:rPr>
        <w:b/>
        <w:sz w:val="24"/>
        <w:szCs w:val="24"/>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48" w:rsidRDefault="00805948" w:rsidP="00FC65E2">
      <w:pPr>
        <w:spacing w:after="0" w:line="240" w:lineRule="auto"/>
      </w:pPr>
      <w:r>
        <w:separator/>
      </w:r>
    </w:p>
  </w:footnote>
  <w:footnote w:type="continuationSeparator" w:id="0">
    <w:p w:rsidR="00805948" w:rsidRDefault="00805948" w:rsidP="00FC65E2">
      <w:pPr>
        <w:spacing w:after="0" w:line="240" w:lineRule="auto"/>
      </w:pPr>
      <w:r>
        <w:continuationSeparator/>
      </w:r>
    </w:p>
  </w:footnote>
  <w:footnote w:id="1">
    <w:p w:rsidR="00805948" w:rsidRPr="004C3325" w:rsidRDefault="00805948"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805948" w:rsidRPr="00D6358C" w:rsidRDefault="00805948"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rsidR="00805948" w:rsidRPr="009440C0" w:rsidRDefault="00805948"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805948" w:rsidRDefault="00805948" w:rsidP="00417016">
      <w:pPr>
        <w:pStyle w:val="Tekstprzypisudolnego"/>
      </w:pPr>
    </w:p>
  </w:footnote>
  <w:footnote w:id="7">
    <w:p w:rsidR="00805948" w:rsidRDefault="00805948" w:rsidP="004656E0">
      <w:pPr>
        <w:pStyle w:val="Tekstprzypisudolnego"/>
      </w:pPr>
      <w:r>
        <w:rPr>
          <w:rStyle w:val="Odwoanieprzypisudolnego"/>
        </w:rPr>
        <w:t>*</w:t>
      </w:r>
      <w:r w:rsidRPr="003722CF">
        <w:t>W ramach wynagrodzenia opiekuna stażysty do w/w kwot należy doliczyć koszty pracodawcy</w:t>
      </w:r>
      <w:r>
        <w:t>.</w:t>
      </w:r>
    </w:p>
  </w:footnote>
  <w:footnote w:id="8">
    <w:p w:rsidR="00805948" w:rsidRDefault="00805948"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948" w:rsidRDefault="00A11BA4" w:rsidP="0029442F">
    <w:pPr>
      <w:pStyle w:val="Nagwek"/>
    </w:pPr>
    <w:sdt>
      <w:sdtPr>
        <w:rPr>
          <w:rFonts w:ascii="Calibri" w:hAnsi="Calibri"/>
          <w:b/>
        </w:rPr>
        <w:id w:val="126210202"/>
        <w:docPartObj>
          <w:docPartGallery w:val="Page Numbers (Margins)"/>
          <w:docPartUnique/>
        </w:docPartObj>
      </w:sdtPr>
      <w:sdtEndPr/>
      <w:sdtContent>
        <w:r w:rsidR="00805948">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948" w:rsidRDefault="0080594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11BA4" w:rsidRPr="00A11BA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805948" w:rsidRDefault="0080594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11BA4" w:rsidRPr="00A11BA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805948" w:rsidRDefault="0080594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948" w:rsidRDefault="00805948">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805948" w:rsidRDefault="00805948">
    <w:pPr>
      <w:pStyle w:val="Nagwek"/>
      <w:rPr>
        <w:rFonts w:ascii="Calibri" w:hAnsi="Calibri"/>
        <w:b/>
      </w:rPr>
    </w:pPr>
  </w:p>
  <w:p w:rsidR="00805948" w:rsidRDefault="00805948">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7"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1"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0"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6"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9"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1"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2"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5"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7"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8"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0"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72"/>
  </w:num>
  <w:num w:numId="5">
    <w:abstractNumId w:val="37"/>
  </w:num>
  <w:num w:numId="6">
    <w:abstractNumId w:val="31"/>
  </w:num>
  <w:num w:numId="7">
    <w:abstractNumId w:val="43"/>
  </w:num>
  <w:num w:numId="8">
    <w:abstractNumId w:val="0"/>
  </w:num>
  <w:num w:numId="9">
    <w:abstractNumId w:val="11"/>
  </w:num>
  <w:num w:numId="10">
    <w:abstractNumId w:val="25"/>
  </w:num>
  <w:num w:numId="11">
    <w:abstractNumId w:val="42"/>
  </w:num>
  <w:num w:numId="12">
    <w:abstractNumId w:val="57"/>
  </w:num>
  <w:num w:numId="13">
    <w:abstractNumId w:val="26"/>
  </w:num>
  <w:num w:numId="14">
    <w:abstractNumId w:val="75"/>
  </w:num>
  <w:num w:numId="15">
    <w:abstractNumId w:val="2"/>
  </w:num>
  <w:num w:numId="16">
    <w:abstractNumId w:val="3"/>
  </w:num>
  <w:num w:numId="17">
    <w:abstractNumId w:val="27"/>
  </w:num>
  <w:num w:numId="18">
    <w:abstractNumId w:val="51"/>
  </w:num>
  <w:num w:numId="19">
    <w:abstractNumId w:val="74"/>
  </w:num>
  <w:num w:numId="20">
    <w:abstractNumId w:val="8"/>
  </w:num>
  <w:num w:numId="21">
    <w:abstractNumId w:val="63"/>
  </w:num>
  <w:num w:numId="22">
    <w:abstractNumId w:val="17"/>
  </w:num>
  <w:num w:numId="23">
    <w:abstractNumId w:val="23"/>
  </w:num>
  <w:num w:numId="24">
    <w:abstractNumId w:val="50"/>
  </w:num>
  <w:num w:numId="25">
    <w:abstractNumId w:val="56"/>
  </w:num>
  <w:num w:numId="26">
    <w:abstractNumId w:val="5"/>
  </w:num>
  <w:num w:numId="27">
    <w:abstractNumId w:val="20"/>
  </w:num>
  <w:num w:numId="28">
    <w:abstractNumId w:val="14"/>
  </w:num>
  <w:num w:numId="29">
    <w:abstractNumId w:val="68"/>
  </w:num>
  <w:num w:numId="30">
    <w:abstractNumId w:val="71"/>
  </w:num>
  <w:num w:numId="31">
    <w:abstractNumId w:val="81"/>
  </w:num>
  <w:num w:numId="32">
    <w:abstractNumId w:val="81"/>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4"/>
  </w:num>
  <w:num w:numId="38">
    <w:abstractNumId w:val="38"/>
  </w:num>
  <w:num w:numId="39">
    <w:abstractNumId w:val="10"/>
  </w:num>
  <w:num w:numId="40">
    <w:abstractNumId w:val="33"/>
  </w:num>
  <w:num w:numId="41">
    <w:abstractNumId w:val="16"/>
  </w:num>
  <w:num w:numId="42">
    <w:abstractNumId w:val="80"/>
  </w:num>
  <w:num w:numId="43">
    <w:abstractNumId w:val="53"/>
  </w:num>
  <w:num w:numId="44">
    <w:abstractNumId w:val="24"/>
  </w:num>
  <w:num w:numId="45">
    <w:abstractNumId w:val="55"/>
  </w:num>
  <w:num w:numId="46">
    <w:abstractNumId w:val="32"/>
  </w:num>
  <w:num w:numId="47">
    <w:abstractNumId w:val="66"/>
  </w:num>
  <w:num w:numId="48">
    <w:abstractNumId w:val="67"/>
  </w:num>
  <w:num w:numId="49">
    <w:abstractNumId w:val="41"/>
  </w:num>
  <w:num w:numId="50">
    <w:abstractNumId w:val="47"/>
  </w:num>
  <w:num w:numId="51">
    <w:abstractNumId w:val="13"/>
  </w:num>
  <w:num w:numId="52">
    <w:abstractNumId w:val="30"/>
  </w:num>
  <w:num w:numId="53">
    <w:abstractNumId w:val="49"/>
  </w:num>
  <w:num w:numId="54">
    <w:abstractNumId w:val="45"/>
  </w:num>
  <w:num w:numId="55">
    <w:abstractNumId w:val="65"/>
  </w:num>
  <w:num w:numId="56">
    <w:abstractNumId w:val="40"/>
  </w:num>
  <w:num w:numId="57">
    <w:abstractNumId w:val="19"/>
  </w:num>
  <w:num w:numId="58">
    <w:abstractNumId w:val="54"/>
  </w:num>
  <w:num w:numId="59">
    <w:abstractNumId w:val="29"/>
  </w:num>
  <w:num w:numId="60">
    <w:abstractNumId w:val="21"/>
  </w:num>
  <w:num w:numId="61">
    <w:abstractNumId w:val="46"/>
  </w:num>
  <w:num w:numId="62">
    <w:abstractNumId w:val="73"/>
  </w:num>
  <w:num w:numId="63">
    <w:abstractNumId w:val="58"/>
  </w:num>
  <w:num w:numId="64">
    <w:abstractNumId w:val="69"/>
  </w:num>
  <w:num w:numId="65">
    <w:abstractNumId w:val="22"/>
  </w:num>
  <w:num w:numId="66">
    <w:abstractNumId w:val="70"/>
  </w:num>
  <w:num w:numId="67">
    <w:abstractNumId w:val="77"/>
  </w:num>
  <w:num w:numId="68">
    <w:abstractNumId w:val="60"/>
  </w:num>
  <w:num w:numId="69">
    <w:abstractNumId w:val="82"/>
  </w:num>
  <w:num w:numId="70">
    <w:abstractNumId w:val="39"/>
  </w:num>
  <w:num w:numId="71">
    <w:abstractNumId w:val="35"/>
  </w:num>
  <w:num w:numId="72">
    <w:abstractNumId w:val="62"/>
  </w:num>
  <w:num w:numId="73">
    <w:abstractNumId w:val="12"/>
  </w:num>
  <w:num w:numId="74">
    <w:abstractNumId w:val="61"/>
  </w:num>
  <w:num w:numId="75">
    <w:abstractNumId w:val="44"/>
  </w:num>
  <w:num w:numId="76">
    <w:abstractNumId w:val="76"/>
  </w:num>
  <w:num w:numId="77">
    <w:abstractNumId w:val="28"/>
  </w:num>
  <w:num w:numId="78">
    <w:abstractNumId w:val="18"/>
  </w:num>
  <w:num w:numId="7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34"/>
  </w:num>
  <w:num w:numId="82">
    <w:abstractNumId w:val="78"/>
  </w:num>
  <w:num w:numId="83">
    <w:abstractNumId w:val="79"/>
  </w:num>
  <w:num w:numId="84">
    <w:abstractNumId w:val="52"/>
  </w:num>
  <w:num w:numId="85">
    <w:abstractNumId w:val="15"/>
  </w:num>
  <w:num w:numId="86">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61D02"/>
    <w:rsid w:val="0076224A"/>
    <w:rsid w:val="00763649"/>
    <w:rsid w:val="007673AE"/>
    <w:rsid w:val="007724DA"/>
    <w:rsid w:val="00773083"/>
    <w:rsid w:val="00776DC9"/>
    <w:rsid w:val="007857DC"/>
    <w:rsid w:val="00787F47"/>
    <w:rsid w:val="007A09F5"/>
    <w:rsid w:val="007B0C6D"/>
    <w:rsid w:val="007C0920"/>
    <w:rsid w:val="007C6214"/>
    <w:rsid w:val="007D1DD2"/>
    <w:rsid w:val="007E2FA4"/>
    <w:rsid w:val="007E57A5"/>
    <w:rsid w:val="00803986"/>
    <w:rsid w:val="00805948"/>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3228"/>
    <w:rsid w:val="00B8600E"/>
    <w:rsid w:val="00BA7C88"/>
    <w:rsid w:val="00BB3CB3"/>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D1E33"/>
    <w:rsid w:val="00ED6172"/>
    <w:rsid w:val="00EE0A4B"/>
    <w:rsid w:val="00EF38C9"/>
    <w:rsid w:val="00F02D35"/>
    <w:rsid w:val="00F055F3"/>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5BE16"/>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EE39-6625-4591-A19B-83106C99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11378</Words>
  <Characters>68273</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Artur Gołębowski</cp:lastModifiedBy>
  <cp:revision>7</cp:revision>
  <cp:lastPrinted>2019-01-21T12:23:00Z</cp:lastPrinted>
  <dcterms:created xsi:type="dcterms:W3CDTF">2019-03-08T09:39:00Z</dcterms:created>
  <dcterms:modified xsi:type="dcterms:W3CDTF">2019-03-11T13:23:00Z</dcterms:modified>
</cp:coreProperties>
</file>