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Default="000D294F" w:rsidP="004D4702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>
        <w:rPr>
          <w:rFonts w:ascii="Calibri" w:hAnsi="Calibri"/>
          <w:b/>
          <w:kern w:val="24"/>
          <w:sz w:val="22"/>
          <w:szCs w:val="22"/>
        </w:rPr>
        <w:t>RPLD.09</w:t>
      </w:r>
      <w:r w:rsidR="00475555">
        <w:rPr>
          <w:rFonts w:ascii="Calibri" w:hAnsi="Calibri"/>
          <w:b/>
          <w:kern w:val="24"/>
          <w:sz w:val="22"/>
          <w:szCs w:val="22"/>
        </w:rPr>
        <w:t>.0</w:t>
      </w:r>
      <w:r w:rsidR="00D64377">
        <w:rPr>
          <w:rFonts w:ascii="Calibri" w:hAnsi="Calibri"/>
          <w:b/>
          <w:kern w:val="24"/>
          <w:sz w:val="22"/>
          <w:szCs w:val="22"/>
        </w:rPr>
        <w:t>1</w:t>
      </w:r>
      <w:r w:rsidR="00475555">
        <w:rPr>
          <w:rFonts w:ascii="Calibri" w:hAnsi="Calibri"/>
          <w:b/>
          <w:kern w:val="24"/>
          <w:sz w:val="22"/>
          <w:szCs w:val="22"/>
        </w:rPr>
        <w:t>.0</w:t>
      </w:r>
      <w:r w:rsidR="00146D2B">
        <w:rPr>
          <w:rFonts w:ascii="Calibri" w:hAnsi="Calibri"/>
          <w:b/>
          <w:kern w:val="24"/>
          <w:sz w:val="22"/>
          <w:szCs w:val="22"/>
        </w:rPr>
        <w:t>3</w:t>
      </w:r>
      <w:r w:rsidR="00D64377">
        <w:rPr>
          <w:rFonts w:ascii="Calibri" w:hAnsi="Calibri"/>
          <w:b/>
          <w:kern w:val="24"/>
          <w:sz w:val="22"/>
          <w:szCs w:val="22"/>
        </w:rPr>
        <w:t>-IP.01-10-00</w:t>
      </w:r>
      <w:r w:rsidR="00146D2B">
        <w:rPr>
          <w:rFonts w:ascii="Calibri" w:hAnsi="Calibri"/>
          <w:b/>
          <w:kern w:val="24"/>
          <w:sz w:val="22"/>
          <w:szCs w:val="22"/>
        </w:rPr>
        <w:t>1</w:t>
      </w:r>
      <w:r w:rsidR="00475555">
        <w:rPr>
          <w:rFonts w:ascii="Calibri" w:hAnsi="Calibri"/>
          <w:b/>
          <w:kern w:val="24"/>
          <w:sz w:val="22"/>
          <w:szCs w:val="22"/>
        </w:rPr>
        <w:t>/18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BC1A06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46D2B" w:rsidRPr="00192996" w:rsidRDefault="00BC1A06" w:rsidP="00146D2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</w:t>
            </w: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7B3756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BC1A06" w:rsidRPr="00192996" w:rsidRDefault="00114F1B" w:rsidP="00192996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0F4F28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715"/>
        <w:gridCol w:w="249"/>
        <w:gridCol w:w="2171"/>
        <w:gridCol w:w="332"/>
        <w:gridCol w:w="819"/>
        <w:gridCol w:w="17"/>
        <w:gridCol w:w="1149"/>
        <w:gridCol w:w="3255"/>
      </w:tblGrid>
      <w:tr w:rsidR="00910D24" w:rsidRPr="006B580F" w:rsidTr="00192996">
        <w:trPr>
          <w:trHeight w:val="564"/>
        </w:trPr>
        <w:tc>
          <w:tcPr>
            <w:tcW w:w="1271" w:type="pct"/>
            <w:gridSpan w:val="2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7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192996">
        <w:trPr>
          <w:trHeight w:val="1271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320DCA" w:rsidRPr="00DF55EE" w:rsidRDefault="00320DCA" w:rsidP="00192996">
            <w:pPr>
              <w:pStyle w:val="Akapitzlist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cs="Calibri"/>
              </w:rPr>
            </w:pPr>
            <w:r w:rsidRPr="00192996">
              <w:rPr>
                <w:rFonts w:cs="Calibri"/>
                <w:b/>
                <w:color w:val="000000"/>
              </w:rPr>
              <w:t>Projekt wynika z obowiązującego i pozytywnie zweryfikowanego przez IZ RPO WŁ programu rewitalizacji oraz jest zlokalizowany na obszarze rewitalizacji</w:t>
            </w:r>
            <w:r w:rsidRPr="00192996">
              <w:rPr>
                <w:rFonts w:cs="Calibri"/>
                <w:b/>
              </w:rPr>
              <w:t>.</w:t>
            </w:r>
          </w:p>
          <w:p w:rsidR="00320DCA" w:rsidRPr="00320DCA" w:rsidRDefault="00320DCA" w:rsidP="00320D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Projekt wynika z obowiązującego (na dzień składania wniosku o dofinansowanie) dla miasta Łodzi programu rewitalizacji znajdującego się w wykazie prowadzonym przez I</w:t>
            </w:r>
            <w:r w:rsidR="000F4F28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RPO WŁ 2014-2020 (www.rpo.lodzkie.pl w zakładce „O programie/rewitalizacja”).</w:t>
            </w:r>
          </w:p>
          <w:p w:rsidR="00320DCA" w:rsidRPr="00320DCA" w:rsidRDefault="00320DCA" w:rsidP="00320D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057139" w:rsidRPr="00192996" w:rsidRDefault="00320DCA" w:rsidP="005678C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9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5A5900" w:rsidRPr="00F23FAA" w:rsidRDefault="005A5900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5A5900" w:rsidRPr="00F23FAA" w:rsidRDefault="005A5900" w:rsidP="005A5900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5A5900" w:rsidRPr="00F23FAA" w:rsidRDefault="005A5900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:rsidTr="00192996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D372C2" w:rsidRPr="00DF55EE" w:rsidRDefault="00D372C2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DF55EE">
              <w:rPr>
                <w:rFonts w:eastAsia="Arial Unicode MS"/>
                <w:b/>
              </w:rPr>
              <w:t xml:space="preserve">Projekt zakłada minimalne </w:t>
            </w:r>
            <w:r w:rsidR="00726955" w:rsidRPr="00DF55EE">
              <w:rPr>
                <w:rFonts w:eastAsia="Arial Unicode MS"/>
                <w:b/>
              </w:rPr>
              <w:t>poziomy efektywności społecznej</w:t>
            </w:r>
            <w:r w:rsidR="00BF640E" w:rsidRPr="00192996">
              <w:rPr>
                <w:rFonts w:eastAsia="Arial Unicode MS"/>
                <w:b/>
              </w:rPr>
              <w:t>.</w:t>
            </w:r>
          </w:p>
          <w:p w:rsidR="00D372C2" w:rsidRPr="004C60D7" w:rsidRDefault="00D372C2" w:rsidP="00D372C2">
            <w:pPr>
              <w:pStyle w:val="Akapitzlist"/>
              <w:ind w:left="2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  <w:bookmarkStart w:id="1" w:name="_GoBack"/>
            <w:bookmarkEnd w:id="1"/>
          </w:p>
          <w:p w:rsidR="00D372C2" w:rsidRPr="004C60D7" w:rsidRDefault="00D372C2" w:rsidP="00D372C2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osób z niepełnosprawnościami co najmniej 34%,</w:t>
            </w:r>
          </w:p>
          <w:p w:rsidR="00D372C2" w:rsidRPr="004C60D7" w:rsidRDefault="00D372C2" w:rsidP="00D372C2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pozostałych osób zagrożonych ubóstwem lub wykluczeniem społecznym co najmniej 34%.</w:t>
            </w:r>
          </w:p>
          <w:p w:rsidR="00713726" w:rsidRPr="00713726" w:rsidRDefault="00713726" w:rsidP="00A225AF">
            <w:pPr>
              <w:rPr>
                <w:rFonts w:eastAsia="Arial Unicode MS"/>
                <w:b/>
              </w:rPr>
            </w:pPr>
          </w:p>
        </w:tc>
      </w:tr>
      <w:tr w:rsidR="00787DBD" w:rsidRPr="006B580F" w:rsidTr="00192996">
        <w:trPr>
          <w:trHeight w:val="532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auto"/>
            <w:vAlign w:val="center"/>
          </w:tcPr>
          <w:p w:rsidR="004C60D7" w:rsidRPr="006B580F" w:rsidRDefault="004C60D7" w:rsidP="004C60D7">
            <w:pPr>
              <w:suppressAutoHyphens w:val="0"/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:rsidTr="00192996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B34AF" w:rsidRPr="00DF55EE" w:rsidRDefault="001846B5" w:rsidP="0019299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DF55EE">
              <w:rPr>
                <w:rFonts w:cs="Calibri"/>
                <w:b/>
              </w:rPr>
              <w:t>Projekt zakłada minimalne pozio</w:t>
            </w:r>
            <w:r w:rsidR="00726955" w:rsidRPr="00DF55EE">
              <w:rPr>
                <w:rFonts w:cs="Calibri"/>
                <w:b/>
              </w:rPr>
              <w:t>my efektywności zatrudnieniowej</w:t>
            </w:r>
            <w:r w:rsidR="00BF640E" w:rsidRPr="00192996">
              <w:rPr>
                <w:rFonts w:cs="Calibri"/>
                <w:b/>
              </w:rPr>
              <w:t>.</w:t>
            </w:r>
          </w:p>
          <w:p w:rsidR="001846B5" w:rsidRPr="00566BD8" w:rsidRDefault="001846B5" w:rsidP="001846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1846B5" w:rsidRDefault="001846B5" w:rsidP="001846B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eastAsia="Arial Unicode MS"/>
                <w:sz w:val="20"/>
                <w:szCs w:val="20"/>
              </w:rPr>
              <w:t xml:space="preserve"> </w:t>
            </w: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1846B5" w:rsidRPr="00566BD8" w:rsidRDefault="001846B5" w:rsidP="001846B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847144" w:rsidRPr="00540989" w:rsidRDefault="001846B5" w:rsidP="001846B5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</w:tc>
      </w:tr>
      <w:tr w:rsidR="00787DBD" w:rsidRPr="006B580F" w:rsidTr="00787DBD">
        <w:trPr>
          <w:trHeight w:val="566"/>
        </w:trPr>
        <w:tc>
          <w:tcPr>
            <w:tcW w:w="1271" w:type="pct"/>
            <w:gridSpan w:val="2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9" w:type="pct"/>
            <w:gridSpan w:val="2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</w:t>
            </w:r>
          </w:p>
        </w:tc>
        <w:tc>
          <w:tcPr>
            <w:tcW w:w="1081" w:type="pct"/>
            <w:gridSpan w:val="4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3F314F" w:rsidRPr="006B580F" w:rsidTr="00192996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3F314F" w:rsidRPr="00192996" w:rsidRDefault="00726955" w:rsidP="00192996">
            <w:pPr>
              <w:pStyle w:val="Default"/>
              <w:numPr>
                <w:ilvl w:val="0"/>
                <w:numId w:val="44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192996">
              <w:rPr>
                <w:b/>
                <w:sz w:val="22"/>
                <w:szCs w:val="22"/>
              </w:rPr>
              <w:t>Indywidualizacja wsparcia</w:t>
            </w:r>
            <w:r w:rsidR="00BF640E" w:rsidRPr="00192996">
              <w:rPr>
                <w:b/>
                <w:sz w:val="22"/>
                <w:szCs w:val="22"/>
              </w:rPr>
              <w:t>.</w:t>
            </w:r>
          </w:p>
          <w:p w:rsidR="003F314F" w:rsidRPr="00D7573B" w:rsidRDefault="00726955" w:rsidP="003F314F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</w:t>
            </w:r>
            <w:r>
              <w:rPr>
                <w:rFonts w:ascii="Calibri" w:hAnsi="Calibri" w:cs="Calibri"/>
                <w:sz w:val="20"/>
                <w:szCs w:val="20"/>
              </w:rPr>
              <w:t>ji, potrzeb z zastrzeżeniem, że 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nie może ona obejmować wyłącznie pracy socjalnej, a instrument aktywizacji zawodowej nie stanowi pierwszego elementu wsparcia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ramach indywidualnej ścieżki reintegracji</w:t>
            </w:r>
            <w:r w:rsidRPr="00A92E3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:rsidTr="00192996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F640E" w:rsidRPr="00192996" w:rsidRDefault="00CB2524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>Praca socjalna w projektach OPS/PCPR.</w:t>
            </w:r>
          </w:p>
          <w:p w:rsidR="00787DBD" w:rsidRPr="00192996" w:rsidRDefault="00787DBD" w:rsidP="001C38BC">
            <w:pPr>
              <w:spacing w:before="120" w:after="120"/>
              <w:rPr>
                <w:rFonts w:eastAsia="Arial Unicode MS"/>
                <w:b/>
              </w:rPr>
            </w:pP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projektów realizowanych przez OPS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/PCPR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F640E" w:rsidRPr="002B393E" w:rsidRDefault="00BF640E" w:rsidP="00192996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W przypadku realizacji typu projektu nr 1 z SZOOP RPO WŁ praca socjalna realizowana jest przez OPS/PCPR przez cały okres udziału uczestnika w projekcie</w:t>
            </w:r>
            <w:r w:rsidRPr="005D4B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BF640E" w:rsidRPr="002B393E" w:rsidRDefault="00BF640E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F640E" w:rsidRPr="002B393E" w:rsidRDefault="00BF640E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BF640E" w:rsidRPr="002B393E" w:rsidRDefault="00BF640E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3F314F" w:rsidRPr="006B580F" w:rsidTr="00192996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B12EA" w:rsidRPr="00DF55EE" w:rsidRDefault="00726955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DF55EE">
              <w:rPr>
                <w:rFonts w:cs="Calibri"/>
                <w:b/>
              </w:rPr>
              <w:lastRenderedPageBreak/>
              <w:t>Narzędzia realizacji wsparcia</w:t>
            </w:r>
            <w:r w:rsidR="00CB2524" w:rsidRPr="00192996">
              <w:rPr>
                <w:rFonts w:cs="Calibri"/>
                <w:b/>
              </w:rPr>
              <w:t>.</w:t>
            </w:r>
          </w:p>
          <w:p w:rsidR="003F314F" w:rsidRPr="000B12EA" w:rsidRDefault="00726955" w:rsidP="000B12EA">
            <w:pPr>
              <w:rPr>
                <w:rFonts w:eastAsia="Arial Unicode MS"/>
                <w:b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906">
              <w:rPr>
                <w:rFonts w:ascii="Calibri" w:hAnsi="Calibri" w:cs="Calibri"/>
                <w:sz w:val="20"/>
                <w:szCs w:val="20"/>
              </w:rPr>
              <w:t>bądź z każdym uczestnikiem podpisywana jest umowa na wzór kontraktu socjalnego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</w:tr>
      <w:tr w:rsidR="003F314F" w:rsidRPr="00CE3054" w:rsidTr="00192996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92472" w:rsidRPr="00192996" w:rsidRDefault="00726955" w:rsidP="00192996">
            <w:pPr>
              <w:pStyle w:val="Default"/>
              <w:numPr>
                <w:ilvl w:val="0"/>
                <w:numId w:val="44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b/>
                <w:sz w:val="22"/>
                <w:szCs w:val="22"/>
              </w:rPr>
              <w:t>Preferencje grupy docelowej</w:t>
            </w:r>
            <w:r w:rsidR="00CB2524" w:rsidRPr="00192996">
              <w:rPr>
                <w:b/>
                <w:sz w:val="22"/>
                <w:szCs w:val="22"/>
              </w:rPr>
              <w:t>.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 xml:space="preserve">Kryteria rekrutacji uwzględniają preferencje dla: 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zagrożonych ubóstwem lub wykluczeniem społecznym doświadczających wielokrotnego wykluczenia społecznego rozumianego jako wykluczenie z powodu więcej niż jednej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przesłanek, o których mowa w Rozdziale </w:t>
            </w:r>
            <w:r>
              <w:rPr>
                <w:rFonts w:ascii="Calibri" w:hAnsi="Calibri" w:cs="Calibri"/>
                <w:sz w:val="20"/>
                <w:szCs w:val="20"/>
              </w:rPr>
              <w:t>3 pkt 15 Wytycznych w </w:t>
            </w:r>
            <w:r w:rsidRPr="00A630CA">
              <w:rPr>
                <w:rFonts w:ascii="Calibri" w:hAnsi="Calibri" w:cs="Calibri"/>
                <w:sz w:val="20"/>
                <w:szCs w:val="20"/>
              </w:rPr>
              <w:t>zakresie realizacji przedsięwzięć w obszarze włączenia społecznego i zwalczania ubóstwa z wykorzystaniem Europejskiego Funduszu Społecznego i Europejskiego Funduszu Rozwoju Regionalnego na lata 2014-2020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dnia 9 stycznia 2018 r.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, </w:t>
            </w:r>
          </w:p>
          <w:p w:rsidR="00726955" w:rsidRDefault="00726955" w:rsidP="007269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:rsidR="00726955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1340B5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:rsidR="00726955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:rsidR="00726955" w:rsidRPr="00EF319A" w:rsidRDefault="00726955" w:rsidP="00726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:rsidR="003F314F" w:rsidRPr="00CE3054" w:rsidRDefault="00726955" w:rsidP="00726955">
            <w:pPr>
              <w:rPr>
                <w:rFonts w:eastAsia="Arial Unicode MS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:rsidTr="00192996">
        <w:trPr>
          <w:trHeight w:val="579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eastAsia="Arial Unicode MS"/>
                <w:sz w:val="22"/>
                <w:szCs w:val="22"/>
              </w:rPr>
            </w:r>
            <w:r w:rsidR="000F4F28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029F4" w:rsidRPr="00EF319A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DF55EE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cs="Calibri"/>
                <w:b/>
              </w:rPr>
            </w:pPr>
            <w:r w:rsidRPr="00DF55EE">
              <w:rPr>
                <w:rFonts w:cs="Calibri"/>
                <w:b/>
              </w:rPr>
              <w:t>Osoby młode</w:t>
            </w:r>
            <w:r w:rsidR="00CB2524" w:rsidRPr="00DF55EE">
              <w:rPr>
                <w:rFonts w:cs="Calibri"/>
                <w:b/>
              </w:rPr>
              <w:t>.</w:t>
            </w:r>
          </w:p>
          <w:p w:rsidR="002029F4" w:rsidRPr="00193CC2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0A1">
              <w:rPr>
                <w:rFonts w:ascii="Calibri" w:hAnsi="Calibri" w:cs="Calibri"/>
                <w:sz w:val="20"/>
                <w:szCs w:val="20"/>
              </w:rPr>
              <w:t xml:space="preserve">Projekt nie może być skoncentrowany na wsparciu dzieci (osoby poniżej 18 roku życia). </w:t>
            </w: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</w:t>
            </w:r>
            <w:r>
              <w:rPr>
                <w:rFonts w:ascii="Calibri" w:hAnsi="Calibri" w:cs="Calibri"/>
                <w:sz w:val="20"/>
                <w:szCs w:val="20"/>
              </w:rPr>
              <w:t>przeznaczonych dla osób: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:rsidR="002029F4" w:rsidRPr="002029F4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:rsidR="002029F4" w:rsidRPr="00EF319A" w:rsidRDefault="002029F4" w:rsidP="002029F4">
            <w:pPr>
              <w:pStyle w:val="Akapitzlist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93DC0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D429FB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120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Wsparcie osób bezrobotnych w projektach OPS</w:t>
            </w:r>
            <w:r w:rsidR="00CB2524" w:rsidRPr="00D429FB">
              <w:rPr>
                <w:rFonts w:cs="Calibri"/>
                <w:b/>
              </w:rPr>
              <w:t>.</w:t>
            </w:r>
          </w:p>
          <w:p w:rsidR="002029F4" w:rsidRPr="00192996" w:rsidRDefault="002029F4" w:rsidP="00146D2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projektów realizowanych przez OPS.</w:t>
            </w:r>
          </w:p>
          <w:p w:rsidR="002029F4" w:rsidRPr="00B93DC0" w:rsidRDefault="002029F4" w:rsidP="00146D2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>Wsparciem obejmowane są osoby bezrobotne, które korzystają z pomocy społecznej lub kwalifikują się do objęcia wsparciem pomocy społecznej, w myśl ustawy z dnia 12 marca 2004 r o pomocy społecznej, i którym do aktywizacji zawodowej niezbędne jest w pierwszej kolejności udzielenie wsparcia w zakresie integracji społecznej.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630CA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8"/>
            <w:shd w:val="clear" w:color="auto" w:fill="D0CECE" w:themeFill="background2" w:themeFillShade="E6"/>
            <w:vAlign w:val="center"/>
          </w:tcPr>
          <w:p w:rsidR="002029F4" w:rsidRPr="00D429FB" w:rsidRDefault="002029F4" w:rsidP="00192996">
            <w:pPr>
              <w:pStyle w:val="Akapitzlist"/>
              <w:numPr>
                <w:ilvl w:val="0"/>
                <w:numId w:val="44"/>
              </w:numPr>
              <w:spacing w:before="120" w:after="240"/>
              <w:ind w:left="714" w:hanging="357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="00CB2524" w:rsidRPr="00192996">
              <w:rPr>
                <w:rFonts w:cs="Calibri"/>
                <w:b/>
              </w:rPr>
              <w:t>.</w:t>
            </w:r>
          </w:p>
          <w:p w:rsidR="002029F4" w:rsidRPr="002029F4" w:rsidRDefault="002029F4" w:rsidP="00146D2B">
            <w:pPr>
              <w:pStyle w:val="Akapitzlist"/>
              <w:ind w:left="22"/>
              <w:jc w:val="both"/>
              <w:rPr>
                <w:rFonts w:eastAsia="Arial Unicode MS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2029F4">
              <w:rPr>
                <w:rFonts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2029F4">
              <w:rPr>
                <w:rFonts w:cs="Calibri"/>
                <w:sz w:val="20"/>
                <w:szCs w:val="20"/>
              </w:rPr>
              <w:t xml:space="preserve">, a szkolenia </w:t>
            </w:r>
            <w:r w:rsidRPr="002029F4">
              <w:rPr>
                <w:rFonts w:cs="Calibri"/>
                <w:sz w:val="20"/>
                <w:szCs w:val="20"/>
              </w:rPr>
              <w:lastRenderedPageBreak/>
              <w:t>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54792F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787DBD" w:rsidRPr="00192996" w:rsidRDefault="00787DBD" w:rsidP="00192996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11.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:rsidR="00787DBD" w:rsidRPr="002029F4" w:rsidRDefault="00787DBD" w:rsidP="002029F4">
            <w:pPr>
              <w:ind w:lef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przypadku realizacji typu projektu “wsparcie na tworzenie lub funkcjonowanie podmiotów integracji społecznej służące realizacji usług reintegracji </w:t>
            </w:r>
            <w:proofErr w:type="spellStart"/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społeczno</w:t>
            </w:r>
            <w:proofErr w:type="spellEnd"/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zawodowej, w tym KIS, CIS, WTZ, ZAZ” projekt zakłada wsparcie w ramach Zakładów Aktywności Zawodowej (ZAZ) poprzez:</w:t>
            </w:r>
            <w:r w:rsidRPr="00202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DBD" w:rsidRPr="002029F4" w:rsidRDefault="00787DBD" w:rsidP="002029F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:rsidR="00787DBD" w:rsidRPr="002029F4" w:rsidRDefault="00787DBD" w:rsidP="002029F4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</w:t>
            </w:r>
          </w:p>
          <w:p w:rsidR="00787DBD" w:rsidRPr="00192996" w:rsidRDefault="00787DBD" w:rsidP="0019299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2029F4" w:rsidRPr="00566BD8" w:rsidTr="00192996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2029F4" w:rsidRPr="00566BD8" w:rsidRDefault="002029F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558" w:type="pct"/>
            <w:gridSpan w:val="4"/>
            <w:shd w:val="clear" w:color="auto" w:fill="FFFFFF"/>
            <w:vAlign w:val="center"/>
          </w:tcPr>
          <w:p w:rsidR="002029F4" w:rsidRPr="00566BD8" w:rsidRDefault="002029F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2055" w:type="pct"/>
            <w:gridSpan w:val="2"/>
            <w:shd w:val="clear" w:color="auto" w:fill="FFFFFF"/>
            <w:vAlign w:val="center"/>
          </w:tcPr>
          <w:p w:rsidR="002029F4" w:rsidRPr="00566BD8" w:rsidRDefault="002029F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10D24"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4C2010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910D24" w:rsidRPr="00D429FB" w:rsidRDefault="00910D24" w:rsidP="00192996">
            <w:pPr>
              <w:pStyle w:val="Akapitzlist"/>
              <w:numPr>
                <w:ilvl w:val="0"/>
                <w:numId w:val="3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="00CB2524"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910D24" w:rsidRPr="00910D24" w:rsidRDefault="00910D24" w:rsidP="00910D24">
            <w:pPr>
              <w:ind w:left="3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 przypadku realizacji typu projektu “wsparcie na tworzenie lub funkcjonowanie podmiotów integracji społecznej służące realizacji usług reintegracji społeczno-zawodowej, w tym KIS, CIS, WTZ, ZAZ”, projekt zakłada wsparcie w ramach Warsztatów Terapii Zajęciowej (WTZ) poprzez:</w:t>
            </w:r>
          </w:p>
          <w:p w:rsidR="00910D24" w:rsidRPr="00910D24" w:rsidRDefault="00910D24" w:rsidP="00910D2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usługami aktywnej integracji nowych osób w istniejących WTZ</w:t>
            </w:r>
          </w:p>
          <w:p w:rsidR="00910D24" w:rsidRPr="00910D24" w:rsidRDefault="00910D24" w:rsidP="00910D24">
            <w:pPr>
              <w:ind w:left="33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 lub</w:t>
            </w:r>
          </w:p>
          <w:p w:rsidR="00910D24" w:rsidRPr="00910D24" w:rsidRDefault="00910D24" w:rsidP="00910D2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2029F4" w:rsidRPr="00566BD8" w:rsidTr="00192996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2029F4" w:rsidRPr="00566BD8" w:rsidRDefault="002029F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558" w:type="pct"/>
            <w:gridSpan w:val="4"/>
            <w:shd w:val="clear" w:color="auto" w:fill="FFFFFF"/>
            <w:vAlign w:val="center"/>
          </w:tcPr>
          <w:p w:rsidR="002029F4" w:rsidRPr="00566BD8" w:rsidRDefault="00910D2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2055" w:type="pct"/>
            <w:gridSpan w:val="2"/>
            <w:shd w:val="clear" w:color="auto" w:fill="FFFFFF"/>
            <w:vAlign w:val="center"/>
          </w:tcPr>
          <w:p w:rsidR="002029F4" w:rsidRPr="00566BD8" w:rsidRDefault="00910D24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D04BD3" w:rsidTr="00192996">
        <w:trPr>
          <w:gridBefore w:val="1"/>
          <w:wBefore w:w="4" w:type="pct"/>
          <w:trHeight w:val="1337"/>
        </w:trPr>
        <w:tc>
          <w:tcPr>
            <w:tcW w:w="4996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29F4" w:rsidRPr="00D429FB" w:rsidRDefault="00910D24" w:rsidP="00192996">
            <w:pPr>
              <w:pStyle w:val="Akapitzlist"/>
              <w:numPr>
                <w:ilvl w:val="0"/>
                <w:numId w:val="37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Praktyki lub staże uczestników WTZ</w:t>
            </w:r>
            <w:r w:rsidR="005F50E3"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910D24" w:rsidRPr="00910D24" w:rsidRDefault="00910D24" w:rsidP="00910D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10D24">
              <w:rPr>
                <w:rFonts w:asciiTheme="minorHAnsi" w:hAnsiTheme="minorHAnsi" w:cs="Calibri"/>
                <w:sz w:val="20"/>
                <w:szCs w:val="20"/>
              </w:rPr>
              <w:t>W przypadku realizacji typu projektu “wsparcie na tworzenie lub funkcjonowanie podmiotów integracji społecznej służące realizacji usług reintegracji społeczno-zawodowej, w tym KIS, CIS, WTZ, ZAZ”, w projekcie dot. wsparcia dotychczasowych uczestników w ramach WTZ, projekt zakłada realizację praktyk lub staży dla minimum 20 % uczestników projektu.</w:t>
            </w:r>
          </w:p>
          <w:p w:rsidR="00910D24" w:rsidRPr="00910D24" w:rsidRDefault="00910D24" w:rsidP="00146D2B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03F60">
              <w:rPr>
                <w:sz w:val="20"/>
                <w:szCs w:val="20"/>
              </w:rPr>
              <w:t xml:space="preserve"> 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92E35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192996" w:rsidRDefault="00910D24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29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Zakres wsparcia CIS, KIS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029F4" w:rsidRPr="00A92E35" w:rsidRDefault="002029F4" w:rsidP="00146D2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przypadku realizacji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(KIS, CIS) lub poprzez utworzenie nowych podmiotów (KIS, CIS).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92E35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192996" w:rsidRDefault="00910D24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029F4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Tworzenie podmiotów reintegracyjnych tj. Centrów Integracji Społecznej, Klubów Integracji Społecznej z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wyłączeniem Warsztatów Terapii Zajęciowej</w:t>
            </w:r>
            <w:r w:rsidR="005F50E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, Zakładów Aktywności Zawodowej.</w:t>
            </w:r>
          </w:p>
          <w:p w:rsidR="005F50E3" w:rsidRPr="005F50E3" w:rsidRDefault="005F50E3" w:rsidP="005F50E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przypadku realizacji typu projektu „wsparcie na tworzenie lub funkcjonowanie podmiotów integracji społecznej służące realizacji usług reintegracji społeczno-zawodowej, w tym KIS, CIS, WTZ, ZAZ” istnieje możliwość utworzenia nowego CIS, KIS o ile wnioskodawca wykaże w treści wniosku, w oparciu o analizę potrzeb grupy docelowej, niedostateczny poziom dostępności usług danego rodzaju podmiotu.</w:t>
            </w:r>
          </w:p>
          <w:p w:rsidR="002029F4" w:rsidRPr="00A92E35" w:rsidRDefault="005F50E3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ramach projektu nie jest tworzony nowy WTZ, ZAZ.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D04BD3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8"/>
            <w:shd w:val="clear" w:color="auto" w:fill="D9D9D9" w:themeFill="background1" w:themeFillShade="D9"/>
            <w:vAlign w:val="center"/>
          </w:tcPr>
          <w:p w:rsidR="002029F4" w:rsidRPr="00192996" w:rsidRDefault="00503F02" w:rsidP="00192996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lastRenderedPageBreak/>
              <w:t>16</w:t>
            </w:r>
            <w:r w:rsidR="002029F4"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="002029F4"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Trwałość zatrudnienia w Zakładzie Aktywności Zawodowej.</w:t>
            </w:r>
          </w:p>
          <w:p w:rsidR="002029F4" w:rsidRPr="00D04BD3" w:rsidRDefault="002029F4" w:rsidP="00146D2B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przypadku realizacji typu projektu </w:t>
            </w:r>
            <w:r w:rsidRPr="003D1668">
              <w:rPr>
                <w:rFonts w:asciiTheme="minorHAnsi" w:eastAsia="Arial Unicode MS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, w projekcie obejmuj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ącym zatrudnienie nowych osób z 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niepełnosprawnościami w ZAZ, okres zatrudnienia tych osób w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ZAZ po zakończeniu realizacji projektu jest co najmniej równy okresowi zatrudnienia w ramach projektu (okres ten może być krótszy, o ile osoba z niepełnosprawnością podejmie zatrudnienie poza ZAZ)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9C2CFD" w:rsidTr="00192996">
        <w:trPr>
          <w:gridBefore w:val="1"/>
          <w:wBefore w:w="4" w:type="pct"/>
          <w:trHeight w:val="1562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192996" w:rsidRDefault="00503F02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. Trwałość utworzonego KIS, CIS</w:t>
            </w:r>
            <w:r w:rsidR="00A50993" w:rsidRPr="0019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029F4" w:rsidRPr="009C2CFD" w:rsidRDefault="002029F4">
            <w:pPr>
              <w:pStyle w:val="Tekstkomentarza"/>
              <w:spacing w:before="120" w:after="120"/>
              <w:jc w:val="both"/>
              <w:rPr>
                <w:rFonts w:ascii="Calibri" w:hAnsi="Calibri" w:cs="Calibri"/>
              </w:rPr>
            </w:pPr>
            <w:r w:rsidRPr="00451409">
              <w:rPr>
                <w:rFonts w:ascii="Calibri" w:hAnsi="Calibri" w:cs="Arial"/>
              </w:rPr>
              <w:t xml:space="preserve">W przypadku realizacji typu projektu </w:t>
            </w:r>
            <w:r w:rsidRPr="003D1668">
              <w:rPr>
                <w:rFonts w:ascii="Calibri" w:hAnsi="Calibri" w:cs="Arial"/>
              </w:rPr>
              <w:t>“wsparcie na tworzenie lub funkcjonowanie podmiotów integracji społecznej służące realizacji usług reintegracji społeczno-zawodowej, w tym KIS, CIS, WTZ, ZAZ”</w:t>
            </w:r>
            <w:r>
              <w:rPr>
                <w:rFonts w:ascii="Calibri" w:hAnsi="Calibri" w:cs="Arial"/>
              </w:rPr>
              <w:t>,</w:t>
            </w:r>
            <w:r w:rsidRPr="00451409">
              <w:rPr>
                <w:rFonts w:ascii="Calibri" w:hAnsi="Calibri" w:cs="Arial"/>
              </w:rPr>
              <w:t xml:space="preserve"> Wnioskodawca deklaruje, że po zakończeniu realizacji projektu zapewni funkcjonowanie utworzonego w projekcie KIS, CIS przez okres co najmniej równy okresowi realizacji projektu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C263E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8"/>
            <w:shd w:val="clear" w:color="auto" w:fill="D9D9D9"/>
            <w:vAlign w:val="center"/>
          </w:tcPr>
          <w:p w:rsidR="002029F4" w:rsidRPr="00192996" w:rsidRDefault="00503F02" w:rsidP="00146D2B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2029F4"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029F4" w:rsidRPr="00D429FB">
              <w:rPr>
                <w:rFonts w:asciiTheme="minorHAnsi" w:hAnsiTheme="minorHAnsi" w:cstheme="minorHAnsi"/>
                <w:b/>
                <w:sz w:val="22"/>
                <w:szCs w:val="22"/>
              </w:rPr>
              <w:t>Wdrożenie instrumentów aktywizacji zawodowej.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Kryterium dotyczy wyłącznie projektów realizowanych przez OPS/PCPR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typu projektu </w:t>
            </w:r>
            <w:r w:rsidRPr="003D1668">
              <w:rPr>
                <w:rFonts w:ascii="Calibri" w:hAnsi="Calibri" w:cs="Calibri"/>
                <w:sz w:val="20"/>
                <w:szCs w:val="20"/>
              </w:rPr>
              <w:t>“programy służące aktywizacji społeczno-zawodowej osób zagrożonych ubóstwem lub wykluczeniem społecznym za pomocą instrumentów aktywizacji społecznej, zawodowej, edukacyjnej”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</w:t>
            </w:r>
            <w:r>
              <w:rPr>
                <w:rFonts w:ascii="Calibri" w:hAnsi="Calibri" w:cs="Calibri"/>
                <w:sz w:val="20"/>
                <w:szCs w:val="20"/>
              </w:rPr>
              <w:t>ji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charakterze zawodowym realizowane są przez: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Partnerów w ramach projektów partnerskich,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wybrane w ramach zlecenia zadania publicznego na zasadach określonych w ustaw</w:t>
            </w:r>
            <w:r>
              <w:rPr>
                <w:rFonts w:ascii="Calibri" w:hAnsi="Calibri" w:cs="Calibri"/>
                <w:sz w:val="20"/>
                <w:szCs w:val="20"/>
              </w:rPr>
              <w:t>ie z dnia 24 kwietnia 2003 r.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działalności pożytku publicznego i o wolontariacie lub zgodnie z art. 15a ustawy z dnia 27 kwietnia 2006 r. o spółdzielniach socjalnych, </w:t>
            </w:r>
          </w:p>
          <w:p w:rsidR="002029F4" w:rsidRDefault="002029F4" w:rsidP="00146D2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danej jednostki samorządu terytorialnego wyspecjalizowane w zakresie reintegracji zawodowej, o ile zostaną wskazane we wniosku o dofinansowanie projektu jako realizatorzy projektu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029F4" w:rsidRPr="00EF319A" w:rsidRDefault="002029F4" w:rsidP="002029F4">
            <w:pPr>
              <w:pStyle w:val="Akapitzlist"/>
              <w:numPr>
                <w:ilvl w:val="0"/>
                <w:numId w:val="31"/>
              </w:numPr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276D33">
              <w:rPr>
                <w:rFonts w:cs="Calibri"/>
                <w:sz w:val="20"/>
                <w:szCs w:val="20"/>
              </w:rPr>
              <w:t xml:space="preserve">Podmioty wybrane na zasadach dotyczących udzielania zamówień określonych w </w:t>
            </w:r>
            <w:r w:rsidRPr="00276D33">
              <w:rPr>
                <w:rFonts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7C75">
              <w:rPr>
                <w:rFonts w:cs="Calibri"/>
                <w:sz w:val="20"/>
                <w:szCs w:val="20"/>
              </w:rPr>
              <w:t>z dnia 19 lipca 2017 r.</w:t>
            </w:r>
          </w:p>
          <w:p w:rsidR="002029F4" w:rsidRPr="00BC263E" w:rsidRDefault="002029F4" w:rsidP="00146D2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</w:t>
            </w:r>
            <w:r>
              <w:rPr>
                <w:rFonts w:ascii="Calibri" w:hAnsi="Calibri" w:cs="Calibri"/>
                <w:sz w:val="20"/>
                <w:szCs w:val="20"/>
              </w:rPr>
              <w:t>wym przez KIS, CIS odbywa się w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zakresie reintegracji społecznej i zawodowej zgodnie z ustawą z dnia 13 czerwca 2003 r. o zatrudnieniu socjalnym.</w:t>
            </w:r>
          </w:p>
        </w:tc>
      </w:tr>
      <w:tr w:rsidR="00787DBD" w:rsidRPr="0074292C" w:rsidTr="00192996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4D4D8A" w:rsidTr="00192996">
        <w:trPr>
          <w:trHeight w:val="579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787DBD" w:rsidRPr="004D4D8A" w:rsidRDefault="00787DBD" w:rsidP="004D4D8A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4D4D8A" w:rsidRPr="004D4D8A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550" w:type="pct"/>
            <w:gridSpan w:val="3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4" w:type="pct"/>
            <w:gridSpan w:val="3"/>
            <w:shd w:val="clear" w:color="auto" w:fill="FFFFFF"/>
            <w:vAlign w:val="center"/>
          </w:tcPr>
          <w:p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</w:r>
            <w:r w:rsidR="000F4F28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0F4F28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4D4D8A" w:rsidRPr="004D4D8A" w:rsidTr="00192996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4D8A" w:rsidRPr="004D4D8A" w:rsidRDefault="004D4D8A" w:rsidP="004D4D8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4D4D8A" w:rsidRPr="004D4D8A" w:rsidRDefault="004D4D8A" w:rsidP="004D4D8A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Analiza przez oceniających informacji zawartych we wniosku o dofinansowanie, wypełnionym na podstawie instrukcji, pod kątem spełnienia kryterium, w tym: </w:t>
            </w:r>
            <w:r w:rsidR="00F20A3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864B5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:rsidTr="00E64CE2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E64CE2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D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EA36BD" w:rsidTr="00E64CE2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E64CE2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Pr="00DB6981" w:rsidRDefault="00EA36BD" w:rsidP="00E64CE2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:rsidTr="00E64CE2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:rsidTr="00E64CE2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:rsidTr="00EA36BD">
        <w:trPr>
          <w:cantSplit/>
          <w:trHeight w:val="1128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konkursie nr RPLD.09.01.03-IP.01-10-001/18 nie przewidziano kryteriów premiujących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Default="00EA36BD" w:rsidP="00E64CE2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Pr="005665EB" w:rsidRDefault="00EA36BD" w:rsidP="00E64CE2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EA36BD" w:rsidTr="00E64CE2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6BD" w:rsidRDefault="00EA36BD" w:rsidP="00E64CE2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EA36BD" w:rsidTr="00E64CE2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BD" w:rsidRDefault="00EA36BD" w:rsidP="00E64CE2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EA36BD" w:rsidRDefault="00EA36BD" w:rsidP="00E64CE2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  <w:tblGridChange w:id="4">
          <w:tblGrid>
            <w:gridCol w:w="888"/>
            <w:gridCol w:w="3532"/>
            <w:gridCol w:w="4642"/>
          </w:tblGrid>
        </w:tblGridChange>
      </w:tblGrid>
      <w:tr w:rsidR="00EA36BD" w:rsidTr="00E64CE2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E64CE2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5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36BD" w:rsidRDefault="00EA36BD" w:rsidP="00E64CE2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:rsidTr="00E64CE2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BD" w:rsidRPr="00565B95" w:rsidRDefault="00EA36BD" w:rsidP="00E64CE2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:rsidTr="00E64CE2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Default="00EA36BD" w:rsidP="00E64CE2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:rsidTr="00E64CE2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:rsidTr="00E64CE2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36BD" w:rsidRPr="00A3267E" w:rsidRDefault="00EA36BD" w:rsidP="00E64CE2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:rsidTr="00E64CE2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BD" w:rsidRDefault="00EA36BD" w:rsidP="00E64CE2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5"/>
    </w:tbl>
    <w:p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:rsidTr="00E64CE2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E64CE2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36BD" w:rsidRPr="00DB6981" w:rsidRDefault="00EA36BD" w:rsidP="00E64CE2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:rsidTr="00E64CE2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:rsidTr="00E64C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E64C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E64CE2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:rsidTr="00E64C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E64C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Pr="00106547" w:rsidRDefault="00EA36BD" w:rsidP="00E64CE2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36BD" w:rsidRDefault="00EA36BD" w:rsidP="00E64CE2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:rsidTr="00E64CE2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D" w:rsidRDefault="00EA36BD" w:rsidP="00E64CE2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:rsidTr="00E64CE2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:rsidTr="00E64CE2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36BD" w:rsidRDefault="00EA36BD" w:rsidP="00E64C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3"/>
    </w:tbl>
    <w:p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66" w:rsidRDefault="00393F66">
      <w:r>
        <w:separator/>
      </w:r>
    </w:p>
  </w:endnote>
  <w:endnote w:type="continuationSeparator" w:id="0">
    <w:p w:rsidR="00393F66" w:rsidRDefault="003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28" w:rsidRDefault="000F4F28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F28" w:rsidRDefault="000F4F28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28" w:rsidRPr="00F66562" w:rsidRDefault="000F4F28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0F4F28" w:rsidRDefault="000F4F28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Content>
      <w:p w:rsidR="000F4F28" w:rsidRDefault="000F4F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4F28" w:rsidRPr="00DB6981" w:rsidRDefault="000F4F28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28" w:rsidRDefault="000F4F28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16</w:t>
    </w:r>
    <w:r>
      <w:rPr>
        <w:rFonts w:cs="Arial Narrow"/>
        <w:sz w:val="22"/>
        <w:szCs w:val="22"/>
      </w:rPr>
      <w:fldChar w:fldCharType="end"/>
    </w:r>
  </w:p>
  <w:p w:rsidR="000F4F28" w:rsidRDefault="000F4F28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66" w:rsidRDefault="00393F66">
      <w:r>
        <w:separator/>
      </w:r>
    </w:p>
  </w:footnote>
  <w:footnote w:type="continuationSeparator" w:id="0">
    <w:p w:rsidR="00393F66" w:rsidRDefault="00393F66">
      <w:r>
        <w:continuationSeparator/>
      </w:r>
    </w:p>
  </w:footnote>
  <w:footnote w:id="1">
    <w:p w:rsidR="000F4F28" w:rsidRPr="00AC4087" w:rsidRDefault="000F4F28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0F4F28" w:rsidRPr="00AC4087" w:rsidRDefault="000F4F28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28" w:rsidRPr="005665EB" w:rsidRDefault="000F4F28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FC"/>
    <w:multiLevelType w:val="hybridMultilevel"/>
    <w:tmpl w:val="6C045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0C8"/>
    <w:multiLevelType w:val="hybridMultilevel"/>
    <w:tmpl w:val="B9BE2A84"/>
    <w:lvl w:ilvl="0" w:tplc="54D4C65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FC8"/>
    <w:multiLevelType w:val="hybridMultilevel"/>
    <w:tmpl w:val="9D32037E"/>
    <w:lvl w:ilvl="0" w:tplc="C6647388">
      <w:start w:val="19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089B"/>
    <w:multiLevelType w:val="hybridMultilevel"/>
    <w:tmpl w:val="7F543252"/>
    <w:lvl w:ilvl="0" w:tplc="B9047E94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F37D5"/>
    <w:multiLevelType w:val="hybridMultilevel"/>
    <w:tmpl w:val="0B401B2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4594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C6F6B"/>
    <w:multiLevelType w:val="hybridMultilevel"/>
    <w:tmpl w:val="5A1E8D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881B2F"/>
    <w:multiLevelType w:val="hybridMultilevel"/>
    <w:tmpl w:val="315C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A291B"/>
    <w:multiLevelType w:val="hybridMultilevel"/>
    <w:tmpl w:val="B92A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7D88"/>
    <w:multiLevelType w:val="hybridMultilevel"/>
    <w:tmpl w:val="7102D5B8"/>
    <w:lvl w:ilvl="0" w:tplc="3F9A6F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25AD"/>
    <w:multiLevelType w:val="hybridMultilevel"/>
    <w:tmpl w:val="448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D4F1A"/>
    <w:multiLevelType w:val="multilevel"/>
    <w:tmpl w:val="AD0C232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0"/>
      </w:rPr>
    </w:lvl>
  </w:abstractNum>
  <w:abstractNum w:abstractNumId="41" w15:restartNumberingAfterBreak="0">
    <w:nsid w:val="737E7DCB"/>
    <w:multiLevelType w:val="hybridMultilevel"/>
    <w:tmpl w:val="6A1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E0ECB"/>
    <w:multiLevelType w:val="hybridMultilevel"/>
    <w:tmpl w:val="8362C3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17"/>
  </w:num>
  <w:num w:numId="9">
    <w:abstractNumId w:val="32"/>
  </w:num>
  <w:num w:numId="10">
    <w:abstractNumId w:val="11"/>
  </w:num>
  <w:num w:numId="11">
    <w:abstractNumId w:val="4"/>
  </w:num>
  <w:num w:numId="12">
    <w:abstractNumId w:val="21"/>
  </w:num>
  <w:num w:numId="13">
    <w:abstractNumId w:val="36"/>
  </w:num>
  <w:num w:numId="14">
    <w:abstractNumId w:val="25"/>
  </w:num>
  <w:num w:numId="15">
    <w:abstractNumId w:val="34"/>
  </w:num>
  <w:num w:numId="16">
    <w:abstractNumId w:val="0"/>
  </w:num>
  <w:num w:numId="17">
    <w:abstractNumId w:val="29"/>
  </w:num>
  <w:num w:numId="18">
    <w:abstractNumId w:val="19"/>
  </w:num>
  <w:num w:numId="19">
    <w:abstractNumId w:val="3"/>
  </w:num>
  <w:num w:numId="20">
    <w:abstractNumId w:val="20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0"/>
  </w:num>
  <w:num w:numId="26">
    <w:abstractNumId w:val="22"/>
  </w:num>
  <w:num w:numId="27">
    <w:abstractNumId w:val="7"/>
  </w:num>
  <w:num w:numId="28">
    <w:abstractNumId w:val="39"/>
  </w:num>
  <w:num w:numId="29">
    <w:abstractNumId w:val="38"/>
  </w:num>
  <w:num w:numId="30">
    <w:abstractNumId w:val="2"/>
  </w:num>
  <w:num w:numId="31">
    <w:abstractNumId w:val="15"/>
  </w:num>
  <w:num w:numId="32">
    <w:abstractNumId w:val="40"/>
  </w:num>
  <w:num w:numId="33">
    <w:abstractNumId w:val="12"/>
  </w:num>
  <w:num w:numId="34">
    <w:abstractNumId w:val="37"/>
  </w:num>
  <w:num w:numId="35">
    <w:abstractNumId w:val="33"/>
  </w:num>
  <w:num w:numId="36">
    <w:abstractNumId w:val="26"/>
  </w:num>
  <w:num w:numId="37">
    <w:abstractNumId w:val="43"/>
  </w:num>
  <w:num w:numId="38">
    <w:abstractNumId w:val="9"/>
  </w:num>
  <w:num w:numId="39">
    <w:abstractNumId w:val="41"/>
  </w:num>
  <w:num w:numId="40">
    <w:abstractNumId w:val="16"/>
  </w:num>
  <w:num w:numId="41">
    <w:abstractNumId w:val="5"/>
  </w:num>
  <w:num w:numId="42">
    <w:abstractNumId w:val="42"/>
  </w:num>
  <w:num w:numId="43">
    <w:abstractNumId w:val="31"/>
  </w:num>
  <w:num w:numId="44">
    <w:abstractNumId w:val="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384E"/>
    <w:rsid w:val="004C60D7"/>
    <w:rsid w:val="004D4702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41AED"/>
    <w:rsid w:val="00F55C76"/>
    <w:rsid w:val="00F6560F"/>
    <w:rsid w:val="00F8477D"/>
    <w:rsid w:val="00FA0E99"/>
    <w:rsid w:val="00FA354B"/>
    <w:rsid w:val="00FA4C3A"/>
    <w:rsid w:val="00FA7B79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EB9A5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7063-564A-4FFD-9987-BF6F571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5397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8</cp:revision>
  <cp:lastPrinted>2018-06-20T08:36:00Z</cp:lastPrinted>
  <dcterms:created xsi:type="dcterms:W3CDTF">2018-09-25T09:23:00Z</dcterms:created>
  <dcterms:modified xsi:type="dcterms:W3CDTF">2018-11-06T08:57:00Z</dcterms:modified>
</cp:coreProperties>
</file>