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5163C82D"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0448F8">
        <w:rPr>
          <w:rFonts w:cs="Calibri"/>
          <w:b/>
          <w:bCs/>
          <w:sz w:val="32"/>
          <w:szCs w:val="32"/>
        </w:rPr>
        <w:t>RPLD.08.02.0</w:t>
      </w:r>
      <w:r w:rsidR="00992EE9">
        <w:rPr>
          <w:rFonts w:cs="Calibri"/>
          <w:b/>
          <w:bCs/>
          <w:sz w:val="32"/>
          <w:szCs w:val="32"/>
        </w:rPr>
        <w:t>2</w:t>
      </w:r>
      <w:r w:rsidR="000448F8">
        <w:rPr>
          <w:rFonts w:cs="Calibri"/>
          <w:b/>
          <w:bCs/>
          <w:sz w:val="32"/>
          <w:szCs w:val="32"/>
        </w:rPr>
        <w:t>-IP.01-10-001/18</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41097CA3" w14:textId="77777777" w:rsidR="00CF23A1"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25197115" w:history="1">
        <w:r w:rsidR="00CF23A1" w:rsidRPr="00FA64FE">
          <w:rPr>
            <w:rStyle w:val="Hipercze"/>
            <w:noProof/>
          </w:rPr>
          <w:t>I.</w:t>
        </w:r>
        <w:r w:rsidR="00CF23A1">
          <w:rPr>
            <w:rFonts w:asciiTheme="minorHAnsi" w:eastAsiaTheme="minorEastAsia" w:hAnsiTheme="minorHAnsi" w:cstheme="minorBidi"/>
            <w:noProof/>
            <w:lang w:eastAsia="pl-PL"/>
          </w:rPr>
          <w:tab/>
        </w:r>
        <w:r w:rsidR="00CF23A1" w:rsidRPr="00FA64FE">
          <w:rPr>
            <w:rStyle w:val="Hipercze"/>
            <w:noProof/>
          </w:rPr>
          <w:t>CEL</w:t>
        </w:r>
        <w:r w:rsidR="00CF23A1">
          <w:rPr>
            <w:noProof/>
            <w:webHidden/>
          </w:rPr>
          <w:tab/>
        </w:r>
        <w:r w:rsidR="00CF23A1">
          <w:rPr>
            <w:noProof/>
            <w:webHidden/>
          </w:rPr>
          <w:fldChar w:fldCharType="begin"/>
        </w:r>
        <w:r w:rsidR="00CF23A1">
          <w:rPr>
            <w:noProof/>
            <w:webHidden/>
          </w:rPr>
          <w:instrText xml:space="preserve"> PAGEREF _Toc525197115 \h </w:instrText>
        </w:r>
        <w:r w:rsidR="00CF23A1">
          <w:rPr>
            <w:noProof/>
            <w:webHidden/>
          </w:rPr>
        </w:r>
        <w:r w:rsidR="00CF23A1">
          <w:rPr>
            <w:noProof/>
            <w:webHidden/>
          </w:rPr>
          <w:fldChar w:fldCharType="separate"/>
        </w:r>
        <w:r w:rsidR="00CF23A1">
          <w:rPr>
            <w:noProof/>
            <w:webHidden/>
          </w:rPr>
          <w:t>3</w:t>
        </w:r>
        <w:r w:rsidR="00CF23A1">
          <w:rPr>
            <w:noProof/>
            <w:webHidden/>
          </w:rPr>
          <w:fldChar w:fldCharType="end"/>
        </w:r>
      </w:hyperlink>
    </w:p>
    <w:p w14:paraId="23FF542E" w14:textId="77777777" w:rsidR="00CF23A1" w:rsidRDefault="00CF23A1">
      <w:pPr>
        <w:pStyle w:val="Spistreci1"/>
        <w:tabs>
          <w:tab w:val="left" w:pos="680"/>
          <w:tab w:val="right" w:leader="dot" w:pos="9060"/>
        </w:tabs>
        <w:rPr>
          <w:rFonts w:asciiTheme="minorHAnsi" w:eastAsiaTheme="minorEastAsia" w:hAnsiTheme="minorHAnsi" w:cstheme="minorBidi"/>
          <w:noProof/>
          <w:lang w:eastAsia="pl-PL"/>
        </w:rPr>
      </w:pPr>
      <w:hyperlink w:anchor="_Toc525197116" w:history="1">
        <w:r w:rsidRPr="00FA64FE">
          <w:rPr>
            <w:rStyle w:val="Hipercze"/>
            <w:noProof/>
          </w:rPr>
          <w:t>II.</w:t>
        </w:r>
        <w:r>
          <w:rPr>
            <w:rFonts w:asciiTheme="minorHAnsi" w:eastAsiaTheme="minorEastAsia" w:hAnsiTheme="minorHAnsi" w:cstheme="minorBidi"/>
            <w:noProof/>
            <w:lang w:eastAsia="pl-PL"/>
          </w:rPr>
          <w:tab/>
        </w:r>
        <w:r w:rsidRPr="00FA64FE">
          <w:rPr>
            <w:rStyle w:val="Hipercze"/>
            <w:noProof/>
          </w:rPr>
          <w:t>INFORMACJE OGÓLNE DOTYCZĄCE KONKURSU</w:t>
        </w:r>
        <w:r>
          <w:rPr>
            <w:noProof/>
            <w:webHidden/>
          </w:rPr>
          <w:tab/>
        </w:r>
        <w:r>
          <w:rPr>
            <w:noProof/>
            <w:webHidden/>
          </w:rPr>
          <w:fldChar w:fldCharType="begin"/>
        </w:r>
        <w:r>
          <w:rPr>
            <w:noProof/>
            <w:webHidden/>
          </w:rPr>
          <w:instrText xml:space="preserve"> PAGEREF _Toc525197116 \h </w:instrText>
        </w:r>
        <w:r>
          <w:rPr>
            <w:noProof/>
            <w:webHidden/>
          </w:rPr>
        </w:r>
        <w:r>
          <w:rPr>
            <w:noProof/>
            <w:webHidden/>
          </w:rPr>
          <w:fldChar w:fldCharType="separate"/>
        </w:r>
        <w:r>
          <w:rPr>
            <w:noProof/>
            <w:webHidden/>
          </w:rPr>
          <w:t>3</w:t>
        </w:r>
        <w:r>
          <w:rPr>
            <w:noProof/>
            <w:webHidden/>
          </w:rPr>
          <w:fldChar w:fldCharType="end"/>
        </w:r>
      </w:hyperlink>
    </w:p>
    <w:p w14:paraId="154D2FD2" w14:textId="77777777" w:rsidR="00CF23A1" w:rsidRDefault="00CF23A1">
      <w:pPr>
        <w:pStyle w:val="Spistreci1"/>
        <w:tabs>
          <w:tab w:val="left" w:pos="680"/>
          <w:tab w:val="right" w:leader="dot" w:pos="9060"/>
        </w:tabs>
        <w:rPr>
          <w:rFonts w:asciiTheme="minorHAnsi" w:eastAsiaTheme="minorEastAsia" w:hAnsiTheme="minorHAnsi" w:cstheme="minorBidi"/>
          <w:noProof/>
          <w:lang w:eastAsia="pl-PL"/>
        </w:rPr>
      </w:pPr>
      <w:hyperlink w:anchor="_Toc525197117" w:history="1">
        <w:r w:rsidRPr="00FA64FE">
          <w:rPr>
            <w:rStyle w:val="Hipercze"/>
            <w:noProof/>
            <w:lang w:eastAsia="pl-PL"/>
          </w:rPr>
          <w:t>III.</w:t>
        </w:r>
        <w:r>
          <w:rPr>
            <w:rFonts w:asciiTheme="minorHAnsi" w:eastAsiaTheme="minorEastAsia" w:hAnsiTheme="minorHAnsi" w:cstheme="minorBidi"/>
            <w:noProof/>
            <w:lang w:eastAsia="pl-PL"/>
          </w:rPr>
          <w:tab/>
        </w:r>
        <w:r w:rsidRPr="00FA64FE">
          <w:rPr>
            <w:rStyle w:val="Hipercze"/>
            <w:noProof/>
          </w:rPr>
          <w:t>STANDARDY W ZAKRESIE REALIZACJI POSZCZEGÓLNYCH FORM WSPARCIA</w:t>
        </w:r>
        <w:r>
          <w:rPr>
            <w:noProof/>
            <w:webHidden/>
          </w:rPr>
          <w:tab/>
        </w:r>
        <w:r>
          <w:rPr>
            <w:noProof/>
            <w:webHidden/>
          </w:rPr>
          <w:fldChar w:fldCharType="begin"/>
        </w:r>
        <w:r>
          <w:rPr>
            <w:noProof/>
            <w:webHidden/>
          </w:rPr>
          <w:instrText xml:space="preserve"> PAGEREF _Toc525197117 \h </w:instrText>
        </w:r>
        <w:r>
          <w:rPr>
            <w:noProof/>
            <w:webHidden/>
          </w:rPr>
        </w:r>
        <w:r>
          <w:rPr>
            <w:noProof/>
            <w:webHidden/>
          </w:rPr>
          <w:fldChar w:fldCharType="separate"/>
        </w:r>
        <w:r>
          <w:rPr>
            <w:noProof/>
            <w:webHidden/>
          </w:rPr>
          <w:t>4</w:t>
        </w:r>
        <w:r>
          <w:rPr>
            <w:noProof/>
            <w:webHidden/>
          </w:rPr>
          <w:fldChar w:fldCharType="end"/>
        </w:r>
      </w:hyperlink>
    </w:p>
    <w:p w14:paraId="4D304D3A" w14:textId="77777777" w:rsidR="00CF23A1" w:rsidRDefault="00CF23A1">
      <w:pPr>
        <w:pStyle w:val="Spistreci2"/>
        <w:tabs>
          <w:tab w:val="right" w:leader="dot" w:pos="9060"/>
        </w:tabs>
        <w:rPr>
          <w:rFonts w:asciiTheme="minorHAnsi" w:eastAsiaTheme="minorEastAsia" w:hAnsiTheme="minorHAnsi" w:cstheme="minorBidi"/>
          <w:noProof/>
        </w:rPr>
      </w:pPr>
      <w:hyperlink w:anchor="_Toc525197118" w:history="1">
        <w:r w:rsidRPr="00FA64FE">
          <w:rPr>
            <w:rStyle w:val="Hipercze"/>
            <w:noProof/>
          </w:rPr>
          <w:t>III.1.</w:t>
        </w:r>
        <w:r>
          <w:rPr>
            <w:rFonts w:asciiTheme="minorHAnsi" w:eastAsiaTheme="minorEastAsia" w:hAnsiTheme="minorHAnsi" w:cstheme="minorBidi"/>
            <w:noProof/>
          </w:rPr>
          <w:tab/>
        </w:r>
        <w:r w:rsidRPr="00FA64FE">
          <w:rPr>
            <w:rStyle w:val="Hipercze"/>
            <w:noProof/>
          </w:rPr>
          <w:t>Instrumenty i usługi rynku pracy mające na celu zidentyfikowanie barier uniemożliwiających wejście lub powrót na rynek pracy, określenie ścieżki zawodowej oraz indywidualizację wsparcia</w:t>
        </w:r>
        <w:r>
          <w:rPr>
            <w:noProof/>
            <w:webHidden/>
          </w:rPr>
          <w:tab/>
        </w:r>
        <w:r>
          <w:rPr>
            <w:noProof/>
            <w:webHidden/>
          </w:rPr>
          <w:fldChar w:fldCharType="begin"/>
        </w:r>
        <w:r>
          <w:rPr>
            <w:noProof/>
            <w:webHidden/>
          </w:rPr>
          <w:instrText xml:space="preserve"> PAGEREF _Toc525197118 \h </w:instrText>
        </w:r>
        <w:r>
          <w:rPr>
            <w:noProof/>
            <w:webHidden/>
          </w:rPr>
        </w:r>
        <w:r>
          <w:rPr>
            <w:noProof/>
            <w:webHidden/>
          </w:rPr>
          <w:fldChar w:fldCharType="separate"/>
        </w:r>
        <w:r>
          <w:rPr>
            <w:noProof/>
            <w:webHidden/>
          </w:rPr>
          <w:t>4</w:t>
        </w:r>
        <w:r>
          <w:rPr>
            <w:noProof/>
            <w:webHidden/>
          </w:rPr>
          <w:fldChar w:fldCharType="end"/>
        </w:r>
      </w:hyperlink>
    </w:p>
    <w:p w14:paraId="510F7DEA" w14:textId="77777777" w:rsidR="00CF23A1" w:rsidRDefault="00CF23A1">
      <w:pPr>
        <w:pStyle w:val="Spistreci2"/>
        <w:tabs>
          <w:tab w:val="right" w:leader="dot" w:pos="9060"/>
        </w:tabs>
        <w:rPr>
          <w:rFonts w:asciiTheme="minorHAnsi" w:eastAsiaTheme="minorEastAsia" w:hAnsiTheme="minorHAnsi" w:cstheme="minorBidi"/>
          <w:noProof/>
        </w:rPr>
      </w:pPr>
      <w:hyperlink w:anchor="_Toc525197119" w:history="1">
        <w:r w:rsidRPr="00FA64FE">
          <w:rPr>
            <w:rStyle w:val="Hipercze"/>
            <w:noProof/>
          </w:rPr>
          <w:t>III.2.</w:t>
        </w:r>
        <w:r>
          <w:rPr>
            <w:rFonts w:asciiTheme="minorHAnsi" w:eastAsiaTheme="minorEastAsia" w:hAnsiTheme="minorHAnsi" w:cstheme="minorBidi"/>
            <w:noProof/>
          </w:rPr>
          <w:tab/>
        </w:r>
        <w:r w:rsidRPr="00FA64FE">
          <w:rPr>
            <w:rStyle w:val="Hipercze"/>
            <w:noProof/>
          </w:rPr>
          <w:t>Instrumenty i usługi rynku pracy służące podnoszeniu kompetencji i nabywaniu kwalifikacji zawodowych oraz ich lepszemu dopasowaniu do potrzeb rynku pracy, np. poprzez wysokiej jakości szkolenia</w:t>
        </w:r>
        <w:r>
          <w:rPr>
            <w:noProof/>
            <w:webHidden/>
          </w:rPr>
          <w:tab/>
        </w:r>
        <w:r>
          <w:rPr>
            <w:noProof/>
            <w:webHidden/>
          </w:rPr>
          <w:fldChar w:fldCharType="begin"/>
        </w:r>
        <w:r>
          <w:rPr>
            <w:noProof/>
            <w:webHidden/>
          </w:rPr>
          <w:instrText xml:space="preserve"> PAGEREF _Toc525197119 \h </w:instrText>
        </w:r>
        <w:r>
          <w:rPr>
            <w:noProof/>
            <w:webHidden/>
          </w:rPr>
        </w:r>
        <w:r>
          <w:rPr>
            <w:noProof/>
            <w:webHidden/>
          </w:rPr>
          <w:fldChar w:fldCharType="separate"/>
        </w:r>
        <w:r>
          <w:rPr>
            <w:noProof/>
            <w:webHidden/>
          </w:rPr>
          <w:t>6</w:t>
        </w:r>
        <w:r>
          <w:rPr>
            <w:noProof/>
            <w:webHidden/>
          </w:rPr>
          <w:fldChar w:fldCharType="end"/>
        </w:r>
      </w:hyperlink>
    </w:p>
    <w:p w14:paraId="5A5E5DA9" w14:textId="77777777" w:rsidR="00CF23A1" w:rsidRDefault="00CF23A1">
      <w:pPr>
        <w:pStyle w:val="Spistreci2"/>
        <w:tabs>
          <w:tab w:val="right" w:leader="dot" w:pos="9060"/>
        </w:tabs>
        <w:rPr>
          <w:rFonts w:asciiTheme="minorHAnsi" w:eastAsiaTheme="minorEastAsia" w:hAnsiTheme="minorHAnsi" w:cstheme="minorBidi"/>
          <w:noProof/>
        </w:rPr>
      </w:pPr>
      <w:hyperlink w:anchor="_Toc525197120" w:history="1">
        <w:r w:rsidRPr="00FA64FE">
          <w:rPr>
            <w:rStyle w:val="Hipercze"/>
            <w:noProof/>
          </w:rPr>
          <w:t>III.3.</w:t>
        </w:r>
        <w:r>
          <w:rPr>
            <w:rFonts w:asciiTheme="minorHAnsi" w:eastAsiaTheme="minorEastAsia" w:hAnsiTheme="minorHAnsi" w:cstheme="minorBidi"/>
            <w:noProof/>
          </w:rPr>
          <w:tab/>
        </w:r>
        <w:r w:rsidRPr="00FA64FE">
          <w:rPr>
            <w:rStyle w:val="Hipercze"/>
            <w:noProof/>
          </w:rPr>
          <w:t>Instrumenty i usługi rynku pracy służące zdobyciu doświadczenia zawodowego</w:t>
        </w:r>
        <w:r>
          <w:rPr>
            <w:noProof/>
            <w:webHidden/>
          </w:rPr>
          <w:tab/>
        </w:r>
        <w:r>
          <w:rPr>
            <w:noProof/>
            <w:webHidden/>
          </w:rPr>
          <w:fldChar w:fldCharType="begin"/>
        </w:r>
        <w:r>
          <w:rPr>
            <w:noProof/>
            <w:webHidden/>
          </w:rPr>
          <w:instrText xml:space="preserve"> PAGEREF _Toc525197120 \h </w:instrText>
        </w:r>
        <w:r>
          <w:rPr>
            <w:noProof/>
            <w:webHidden/>
          </w:rPr>
        </w:r>
        <w:r>
          <w:rPr>
            <w:noProof/>
            <w:webHidden/>
          </w:rPr>
          <w:fldChar w:fldCharType="separate"/>
        </w:r>
        <w:r>
          <w:rPr>
            <w:noProof/>
            <w:webHidden/>
          </w:rPr>
          <w:t>8</w:t>
        </w:r>
        <w:r>
          <w:rPr>
            <w:noProof/>
            <w:webHidden/>
          </w:rPr>
          <w:fldChar w:fldCharType="end"/>
        </w:r>
      </w:hyperlink>
    </w:p>
    <w:p w14:paraId="713C0C8F" w14:textId="77777777" w:rsidR="00CF23A1" w:rsidRDefault="00CF23A1">
      <w:pPr>
        <w:pStyle w:val="Spistreci1"/>
        <w:tabs>
          <w:tab w:val="left" w:pos="680"/>
          <w:tab w:val="right" w:leader="dot" w:pos="9060"/>
        </w:tabs>
        <w:rPr>
          <w:rFonts w:asciiTheme="minorHAnsi" w:eastAsiaTheme="minorEastAsia" w:hAnsiTheme="minorHAnsi" w:cstheme="minorBidi"/>
          <w:noProof/>
          <w:lang w:eastAsia="pl-PL"/>
        </w:rPr>
      </w:pPr>
      <w:hyperlink w:anchor="_Toc525197121" w:history="1">
        <w:r w:rsidRPr="00FA64FE">
          <w:rPr>
            <w:rStyle w:val="Hipercze"/>
            <w:noProof/>
            <w:lang w:eastAsia="pl-PL"/>
          </w:rPr>
          <w:t>IV.</w:t>
        </w:r>
        <w:r>
          <w:rPr>
            <w:rFonts w:asciiTheme="minorHAnsi" w:eastAsiaTheme="minorEastAsia" w:hAnsiTheme="minorHAnsi" w:cstheme="minorBidi"/>
            <w:noProof/>
            <w:lang w:eastAsia="pl-PL"/>
          </w:rPr>
          <w:tab/>
        </w:r>
        <w:r w:rsidRPr="00FA64FE">
          <w:rPr>
            <w:rStyle w:val="Hipercze"/>
            <w:noProof/>
          </w:rPr>
          <w:t>MECHANIZM RACJONALNYCH USPRAWNIEŃ</w:t>
        </w:r>
        <w:r>
          <w:rPr>
            <w:noProof/>
            <w:webHidden/>
          </w:rPr>
          <w:tab/>
        </w:r>
        <w:r>
          <w:rPr>
            <w:noProof/>
            <w:webHidden/>
          </w:rPr>
          <w:fldChar w:fldCharType="begin"/>
        </w:r>
        <w:r>
          <w:rPr>
            <w:noProof/>
            <w:webHidden/>
          </w:rPr>
          <w:instrText xml:space="preserve"> PAGEREF _Toc525197121 \h </w:instrText>
        </w:r>
        <w:r>
          <w:rPr>
            <w:noProof/>
            <w:webHidden/>
          </w:rPr>
        </w:r>
        <w:r>
          <w:rPr>
            <w:noProof/>
            <w:webHidden/>
          </w:rPr>
          <w:fldChar w:fldCharType="separate"/>
        </w:r>
        <w:r>
          <w:rPr>
            <w:noProof/>
            <w:webHidden/>
          </w:rPr>
          <w:t>14</w:t>
        </w:r>
        <w:r>
          <w:rPr>
            <w:noProof/>
            <w:webHidden/>
          </w:rPr>
          <w:fldChar w:fldCharType="end"/>
        </w:r>
      </w:hyperlink>
    </w:p>
    <w:p w14:paraId="27BAC6EE" w14:textId="77777777" w:rsidR="00CF23A1" w:rsidRDefault="00CF23A1">
      <w:pPr>
        <w:pStyle w:val="Spistreci1"/>
        <w:tabs>
          <w:tab w:val="left" w:pos="680"/>
          <w:tab w:val="right" w:leader="dot" w:pos="9060"/>
        </w:tabs>
        <w:rPr>
          <w:rFonts w:asciiTheme="minorHAnsi" w:eastAsiaTheme="minorEastAsia" w:hAnsiTheme="minorHAnsi" w:cstheme="minorBidi"/>
          <w:noProof/>
          <w:lang w:eastAsia="pl-PL"/>
        </w:rPr>
      </w:pPr>
      <w:hyperlink w:anchor="_Toc525197122" w:history="1">
        <w:r w:rsidRPr="00FA64FE">
          <w:rPr>
            <w:rStyle w:val="Hipercze"/>
            <w:noProof/>
          </w:rPr>
          <w:t>V.</w:t>
        </w:r>
        <w:r>
          <w:rPr>
            <w:rFonts w:asciiTheme="minorHAnsi" w:eastAsiaTheme="minorEastAsia" w:hAnsiTheme="minorHAnsi" w:cstheme="minorBidi"/>
            <w:noProof/>
            <w:lang w:eastAsia="pl-PL"/>
          </w:rPr>
          <w:tab/>
        </w:r>
        <w:r w:rsidRPr="00FA64FE">
          <w:rPr>
            <w:rStyle w:val="Hipercze"/>
            <w:noProof/>
          </w:rPr>
          <w:t>KOSZTY DOJAZDU UCZESTNIKA PROJEKTU / PERSONELU PROJEKTU</w:t>
        </w:r>
        <w:r>
          <w:rPr>
            <w:noProof/>
            <w:webHidden/>
          </w:rPr>
          <w:tab/>
        </w:r>
        <w:r>
          <w:rPr>
            <w:noProof/>
            <w:webHidden/>
          </w:rPr>
          <w:fldChar w:fldCharType="begin"/>
        </w:r>
        <w:r>
          <w:rPr>
            <w:noProof/>
            <w:webHidden/>
          </w:rPr>
          <w:instrText xml:space="preserve"> PAGEREF _Toc525197122 \h </w:instrText>
        </w:r>
        <w:r>
          <w:rPr>
            <w:noProof/>
            <w:webHidden/>
          </w:rPr>
        </w:r>
        <w:r>
          <w:rPr>
            <w:noProof/>
            <w:webHidden/>
          </w:rPr>
          <w:fldChar w:fldCharType="separate"/>
        </w:r>
        <w:r>
          <w:rPr>
            <w:noProof/>
            <w:webHidden/>
          </w:rPr>
          <w:t>15</w:t>
        </w:r>
        <w:r>
          <w:rPr>
            <w:noProof/>
            <w:webHidden/>
          </w:rPr>
          <w:fldChar w:fldCharType="end"/>
        </w:r>
      </w:hyperlink>
    </w:p>
    <w:p w14:paraId="436E7167" w14:textId="77777777" w:rsidR="00CF23A1" w:rsidRDefault="00CF23A1">
      <w:pPr>
        <w:pStyle w:val="Spistreci1"/>
        <w:tabs>
          <w:tab w:val="left" w:pos="680"/>
          <w:tab w:val="right" w:leader="dot" w:pos="9060"/>
        </w:tabs>
        <w:rPr>
          <w:rFonts w:asciiTheme="minorHAnsi" w:eastAsiaTheme="minorEastAsia" w:hAnsiTheme="minorHAnsi" w:cstheme="minorBidi"/>
          <w:noProof/>
          <w:lang w:eastAsia="pl-PL"/>
        </w:rPr>
      </w:pPr>
      <w:hyperlink w:anchor="_Toc525197123" w:history="1">
        <w:r w:rsidRPr="00FA64FE">
          <w:rPr>
            <w:rStyle w:val="Hipercze"/>
            <w:noProof/>
          </w:rPr>
          <w:t>VI.</w:t>
        </w:r>
        <w:r>
          <w:rPr>
            <w:rFonts w:asciiTheme="minorHAnsi" w:eastAsiaTheme="minorEastAsia" w:hAnsiTheme="minorHAnsi" w:cstheme="minorBidi"/>
            <w:noProof/>
            <w:lang w:eastAsia="pl-PL"/>
          </w:rPr>
          <w:tab/>
        </w:r>
        <w:r w:rsidRPr="00FA64FE">
          <w:rPr>
            <w:rStyle w:val="Hipercze"/>
            <w:noProof/>
          </w:rPr>
          <w:t>KATALOG CEN RYNKOWYCH</w:t>
        </w:r>
        <w:r>
          <w:rPr>
            <w:noProof/>
            <w:webHidden/>
          </w:rPr>
          <w:tab/>
        </w:r>
        <w:r>
          <w:rPr>
            <w:noProof/>
            <w:webHidden/>
          </w:rPr>
          <w:fldChar w:fldCharType="begin"/>
        </w:r>
        <w:r>
          <w:rPr>
            <w:noProof/>
            <w:webHidden/>
          </w:rPr>
          <w:instrText xml:space="preserve"> PAGEREF _Toc525197123 \h </w:instrText>
        </w:r>
        <w:r>
          <w:rPr>
            <w:noProof/>
            <w:webHidden/>
          </w:rPr>
        </w:r>
        <w:r>
          <w:rPr>
            <w:noProof/>
            <w:webHidden/>
          </w:rPr>
          <w:fldChar w:fldCharType="separate"/>
        </w:r>
        <w:r>
          <w:rPr>
            <w:noProof/>
            <w:webHidden/>
          </w:rPr>
          <w:t>17</w:t>
        </w:r>
        <w:r>
          <w:rPr>
            <w:noProof/>
            <w:webHidden/>
          </w:rPr>
          <w:fldChar w:fldCharType="end"/>
        </w:r>
      </w:hyperlink>
    </w:p>
    <w:p w14:paraId="7F014731" w14:textId="77777777" w:rsidR="00CF23A1" w:rsidRDefault="00CF23A1">
      <w:pPr>
        <w:pStyle w:val="Spistreci2"/>
        <w:tabs>
          <w:tab w:val="right" w:leader="dot" w:pos="9060"/>
        </w:tabs>
        <w:rPr>
          <w:rFonts w:asciiTheme="minorHAnsi" w:eastAsiaTheme="minorEastAsia" w:hAnsiTheme="minorHAnsi" w:cstheme="minorBidi"/>
          <w:noProof/>
        </w:rPr>
      </w:pPr>
      <w:hyperlink w:anchor="_Toc525197124" w:history="1">
        <w:r w:rsidRPr="00FA64FE">
          <w:rPr>
            <w:rStyle w:val="Hipercze"/>
            <w:noProof/>
          </w:rPr>
          <w:t>VI.1.</w:t>
        </w:r>
        <w:r>
          <w:rPr>
            <w:rFonts w:asciiTheme="minorHAnsi" w:eastAsiaTheme="minorEastAsia" w:hAnsiTheme="minorHAnsi" w:cstheme="minorBidi"/>
            <w:noProof/>
          </w:rPr>
          <w:tab/>
        </w:r>
        <w:r w:rsidRPr="00FA64FE">
          <w:rPr>
            <w:rStyle w:val="Hipercze"/>
            <w:noProof/>
          </w:rPr>
          <w:t>Personel projektu/wykonawca usługi</w:t>
        </w:r>
        <w:r>
          <w:rPr>
            <w:noProof/>
            <w:webHidden/>
          </w:rPr>
          <w:tab/>
        </w:r>
        <w:r>
          <w:rPr>
            <w:noProof/>
            <w:webHidden/>
          </w:rPr>
          <w:fldChar w:fldCharType="begin"/>
        </w:r>
        <w:r>
          <w:rPr>
            <w:noProof/>
            <w:webHidden/>
          </w:rPr>
          <w:instrText xml:space="preserve"> PAGEREF _Toc525197124 \h </w:instrText>
        </w:r>
        <w:r>
          <w:rPr>
            <w:noProof/>
            <w:webHidden/>
          </w:rPr>
        </w:r>
        <w:r>
          <w:rPr>
            <w:noProof/>
            <w:webHidden/>
          </w:rPr>
          <w:fldChar w:fldCharType="separate"/>
        </w:r>
        <w:r>
          <w:rPr>
            <w:noProof/>
            <w:webHidden/>
          </w:rPr>
          <w:t>18</w:t>
        </w:r>
        <w:r>
          <w:rPr>
            <w:noProof/>
            <w:webHidden/>
          </w:rPr>
          <w:fldChar w:fldCharType="end"/>
        </w:r>
      </w:hyperlink>
    </w:p>
    <w:p w14:paraId="6F152DA4" w14:textId="77777777" w:rsidR="00CF23A1" w:rsidRDefault="00CF23A1">
      <w:pPr>
        <w:pStyle w:val="Spistreci2"/>
        <w:tabs>
          <w:tab w:val="right" w:leader="dot" w:pos="9060"/>
        </w:tabs>
        <w:rPr>
          <w:rFonts w:asciiTheme="minorHAnsi" w:eastAsiaTheme="minorEastAsia" w:hAnsiTheme="minorHAnsi" w:cstheme="minorBidi"/>
          <w:noProof/>
        </w:rPr>
      </w:pPr>
      <w:hyperlink w:anchor="_Toc525197125" w:history="1">
        <w:r w:rsidRPr="00FA64FE">
          <w:rPr>
            <w:rStyle w:val="Hipercze"/>
            <w:noProof/>
          </w:rPr>
          <w:t>VI.2.</w:t>
        </w:r>
        <w:r>
          <w:rPr>
            <w:rFonts w:asciiTheme="minorHAnsi" w:eastAsiaTheme="minorEastAsia" w:hAnsiTheme="minorHAnsi" w:cstheme="minorBidi"/>
            <w:noProof/>
          </w:rPr>
          <w:tab/>
        </w:r>
        <w:r w:rsidRPr="00FA64FE">
          <w:rPr>
            <w:rStyle w:val="Hipercze"/>
            <w:noProof/>
          </w:rPr>
          <w:t>Towary i usługi</w:t>
        </w:r>
        <w:r>
          <w:rPr>
            <w:noProof/>
            <w:webHidden/>
          </w:rPr>
          <w:tab/>
        </w:r>
        <w:r>
          <w:rPr>
            <w:noProof/>
            <w:webHidden/>
          </w:rPr>
          <w:fldChar w:fldCharType="begin"/>
        </w:r>
        <w:r>
          <w:rPr>
            <w:noProof/>
            <w:webHidden/>
          </w:rPr>
          <w:instrText xml:space="preserve"> PAGEREF _Toc525197125 \h </w:instrText>
        </w:r>
        <w:r>
          <w:rPr>
            <w:noProof/>
            <w:webHidden/>
          </w:rPr>
        </w:r>
        <w:r>
          <w:rPr>
            <w:noProof/>
            <w:webHidden/>
          </w:rPr>
          <w:fldChar w:fldCharType="separate"/>
        </w:r>
        <w:r>
          <w:rPr>
            <w:noProof/>
            <w:webHidden/>
          </w:rPr>
          <w:t>20</w:t>
        </w:r>
        <w:r>
          <w:rPr>
            <w:noProof/>
            <w:webHidden/>
          </w:rPr>
          <w:fldChar w:fldCharType="end"/>
        </w:r>
      </w:hyperlink>
    </w:p>
    <w:p w14:paraId="1A84DCC0" w14:textId="77777777" w:rsidR="00CF23A1" w:rsidRDefault="00CF23A1">
      <w:pPr>
        <w:pStyle w:val="Spistreci2"/>
        <w:tabs>
          <w:tab w:val="right" w:leader="dot" w:pos="9060"/>
        </w:tabs>
        <w:rPr>
          <w:rFonts w:asciiTheme="minorHAnsi" w:eastAsiaTheme="minorEastAsia" w:hAnsiTheme="minorHAnsi" w:cstheme="minorBidi"/>
          <w:noProof/>
        </w:rPr>
      </w:pPr>
      <w:hyperlink w:anchor="_Toc525197126" w:history="1">
        <w:r w:rsidRPr="00FA64FE">
          <w:rPr>
            <w:rStyle w:val="Hipercze"/>
            <w:noProof/>
          </w:rPr>
          <w:t>VI.3.</w:t>
        </w:r>
        <w:r>
          <w:rPr>
            <w:rFonts w:asciiTheme="minorHAnsi" w:eastAsiaTheme="minorEastAsia" w:hAnsiTheme="minorHAnsi" w:cstheme="minorBidi"/>
            <w:noProof/>
          </w:rPr>
          <w:tab/>
        </w:r>
        <w:r w:rsidRPr="00FA64FE">
          <w:rPr>
            <w:rStyle w:val="Hipercze"/>
            <w:noProof/>
          </w:rPr>
          <w:t>Szkolenia</w:t>
        </w:r>
        <w:r>
          <w:rPr>
            <w:noProof/>
            <w:webHidden/>
          </w:rPr>
          <w:tab/>
        </w:r>
        <w:r>
          <w:rPr>
            <w:noProof/>
            <w:webHidden/>
          </w:rPr>
          <w:fldChar w:fldCharType="begin"/>
        </w:r>
        <w:r>
          <w:rPr>
            <w:noProof/>
            <w:webHidden/>
          </w:rPr>
          <w:instrText xml:space="preserve"> PAGEREF _Toc525197126 \h </w:instrText>
        </w:r>
        <w:r>
          <w:rPr>
            <w:noProof/>
            <w:webHidden/>
          </w:rPr>
        </w:r>
        <w:r>
          <w:rPr>
            <w:noProof/>
            <w:webHidden/>
          </w:rPr>
          <w:fldChar w:fldCharType="separate"/>
        </w:r>
        <w:r>
          <w:rPr>
            <w:noProof/>
            <w:webHidden/>
          </w:rPr>
          <w:t>29</w:t>
        </w:r>
        <w:r>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bookmarkStart w:id="0" w:name="_GoBack"/>
      <w:bookmarkEnd w:id="0"/>
    </w:p>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1" w:name="_TOC_250036"/>
      <w:bookmarkStart w:id="2" w:name="_Toc525197115"/>
      <w:r w:rsidRPr="00640EA3">
        <w:t>CEL</w:t>
      </w:r>
      <w:bookmarkEnd w:id="2"/>
    </w:p>
    <w:p w14:paraId="3C298F3B" w14:textId="5DDF9D03"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30123E">
        <w:rPr>
          <w:sz w:val="24"/>
          <w:szCs w:val="24"/>
          <w:lang w:eastAsia="pl-PL"/>
        </w:rPr>
        <w:t>RPLD.08.02.0</w:t>
      </w:r>
      <w:r w:rsidR="00B51352">
        <w:rPr>
          <w:sz w:val="24"/>
          <w:szCs w:val="24"/>
          <w:lang w:eastAsia="pl-PL"/>
        </w:rPr>
        <w:t>2</w:t>
      </w:r>
      <w:r w:rsidR="0030123E">
        <w:rPr>
          <w:sz w:val="24"/>
          <w:szCs w:val="24"/>
          <w:lang w:eastAsia="pl-PL"/>
        </w:rPr>
        <w:t>-IP.01-10-001/18</w:t>
      </w:r>
      <w:r w:rsidRPr="00057E9C">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650B4A">
        <w:rPr>
          <w:sz w:val="24"/>
          <w:szCs w:val="24"/>
        </w:rPr>
        <w:t>2</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3" w:name="_Toc525197116"/>
      <w:r>
        <w:t>INFORMACJE OGÓLNE DOTYCZĄCE KONKURSU</w:t>
      </w:r>
      <w:bookmarkEnd w:id="3"/>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lastRenderedPageBreak/>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t>subsydiowane zatrudnienie,</w:t>
      </w:r>
    </w:p>
    <w:p w14:paraId="3CB1AA57" w14:textId="0792DEAC" w:rsidR="00C67C12" w:rsidRDefault="00C67C12" w:rsidP="00C67C12">
      <w:pPr>
        <w:pStyle w:val="Akapitzlist"/>
        <w:numPr>
          <w:ilvl w:val="1"/>
          <w:numId w:val="3"/>
        </w:numPr>
        <w:rPr>
          <w:sz w:val="24"/>
          <w:szCs w:val="24"/>
          <w:lang w:eastAsia="pl-PL"/>
        </w:rPr>
      </w:pPr>
      <w:r>
        <w:rPr>
          <w:sz w:val="24"/>
          <w:szCs w:val="24"/>
          <w:lang w:eastAsia="pl-PL"/>
        </w:rPr>
        <w:t>wyposażenie lub doposażenie stanowiska pracy.</w:t>
      </w:r>
    </w:p>
    <w:p w14:paraId="298D5281" w14:textId="77777777" w:rsidR="007C4C47" w:rsidRPr="00057E9C" w:rsidRDefault="007C4C47" w:rsidP="00FE6410">
      <w:pPr>
        <w:pStyle w:val="Nag1"/>
        <w:rPr>
          <w:lang w:eastAsia="pl-PL"/>
        </w:rPr>
      </w:pPr>
      <w:bookmarkStart w:id="4" w:name="_Toc525197117"/>
      <w:r w:rsidRPr="007B2577">
        <w:t>STANDARDY W ZAKRESIE REALIZACJI POSZCZEGÓLNYCH FORM WSPARCIA</w:t>
      </w:r>
      <w:bookmarkEnd w:id="4"/>
    </w:p>
    <w:p w14:paraId="5D6BA2BF" w14:textId="1F94BD87" w:rsidR="007C4C47" w:rsidRPr="00796F4F" w:rsidRDefault="004A79E3" w:rsidP="00AF42BA">
      <w:pPr>
        <w:pStyle w:val="Nag2"/>
      </w:pPr>
      <w:bookmarkStart w:id="5" w:name="_Toc525197118"/>
      <w:r>
        <w:t>I</w:t>
      </w:r>
      <w:r w:rsidR="00AF42BA" w:rsidRPr="00AF42BA">
        <w:t>nstrumenty i usługi rynku pracy mające na celu zidentyfikowanie barier uniemożliwiających wejście lub powrót na rynek pracy, określenie ścieżki zawodowej oraz indywidualizację wsparcia</w:t>
      </w:r>
      <w:bookmarkEnd w:id="5"/>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099E8C6B"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8064E5">
        <w:rPr>
          <w:rFonts w:ascii="Calibri" w:hAnsi="Calibri" w:cs="Calibri"/>
          <w:sz w:val="24"/>
          <w:szCs w:val="24"/>
        </w:rPr>
        <w:t>5</w:t>
      </w:r>
      <w:r>
        <w:rPr>
          <w:rFonts w:ascii="Calibri" w:hAnsi="Calibri" w:cs="Calibri"/>
          <w:sz w:val="24"/>
          <w:szCs w:val="24"/>
        </w:rPr>
        <w:t xml:space="preserve">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77777777"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Pr="003067BE">
        <w:rPr>
          <w:rFonts w:ascii="Calibri" w:hAnsi="Calibri" w:cs="Calibri"/>
          <w:sz w:val="24"/>
          <w:szCs w:val="24"/>
        </w:rPr>
        <w:t>zdolności i 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lastRenderedPageBreak/>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6" w:name="_Toc488995871"/>
      <w:bookmarkStart w:id="7" w:name="_Toc488995872"/>
      <w:bookmarkStart w:id="8" w:name="_Toc525197119"/>
      <w:bookmarkEnd w:id="6"/>
      <w:bookmarkEnd w:id="7"/>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8"/>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17C86542"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nr </w:t>
      </w:r>
      <w:r w:rsidR="00843B4F">
        <w:rPr>
          <w:rFonts w:ascii="Calibri" w:hAnsi="Calibri" w:cs="Calibri"/>
          <w:sz w:val="24"/>
          <w:szCs w:val="24"/>
        </w:rPr>
        <w:t>5</w:t>
      </w:r>
      <w:r w:rsidR="009A3DAB">
        <w:rPr>
          <w:rFonts w:ascii="Calibri" w:hAnsi="Calibri" w:cs="Calibri"/>
          <w:sz w:val="24"/>
          <w:szCs w:val="24"/>
        </w:rPr>
        <w:t xml:space="preserve"> nakazującym m. in. zdiagnozowanie potrzeb szkoleniowych.</w:t>
      </w:r>
    </w:p>
    <w:p w14:paraId="53CCBC2B" w14:textId="4F285E90" w:rsidR="003B347D" w:rsidRDefault="003B347D" w:rsidP="00AE5C32">
      <w:pPr>
        <w:pStyle w:val="Normalny1"/>
        <w:numPr>
          <w:ilvl w:val="0"/>
          <w:numId w:val="0"/>
        </w:numPr>
        <w:jc w:val="left"/>
        <w:rPr>
          <w:rFonts w:ascii="Calibri" w:hAnsi="Calibri" w:cs="Calibri"/>
          <w:sz w:val="24"/>
          <w:szCs w:val="24"/>
        </w:rPr>
      </w:pPr>
      <w:bookmarkStart w:id="9" w:name="s6"/>
      <w:bookmarkEnd w:id="9"/>
      <w:r>
        <w:rPr>
          <w:rFonts w:ascii="Calibri" w:hAnsi="Calibri" w:cs="Calibri"/>
          <w:sz w:val="24"/>
          <w:szCs w:val="24"/>
        </w:rPr>
        <w:t xml:space="preserve">Zgodnie ze szczegółowym kryterium dostępu nr </w:t>
      </w:r>
      <w:r w:rsidR="0051376E">
        <w:rPr>
          <w:rFonts w:ascii="Calibri" w:hAnsi="Calibri" w:cs="Calibri"/>
          <w:sz w:val="24"/>
          <w:szCs w:val="24"/>
        </w:rPr>
        <w:t>6</w:t>
      </w:r>
      <w:r>
        <w:rPr>
          <w:rFonts w:ascii="Calibri" w:hAnsi="Calibri" w:cs="Calibri"/>
          <w:sz w:val="24"/>
          <w:szCs w:val="24"/>
        </w:rPr>
        <w:t xml:space="preserve"> efektem szkoleń powinno być</w:t>
      </w:r>
      <w:r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2014-2020 z dnia 18 maja 2017 r</w:t>
      </w:r>
      <w:r w:rsidR="009A5946">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2F93E7F2"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 xml:space="preserve">Zgodnie z brzmieniem szczegółowego kryterium dostępu nr  </w:t>
      </w:r>
      <w:r w:rsidR="0013394E">
        <w:rPr>
          <w:rFonts w:ascii="Calibri" w:hAnsi="Calibri" w:cs="Calibri"/>
          <w:bCs/>
          <w:sz w:val="24"/>
          <w:szCs w:val="24"/>
        </w:rPr>
        <w:t>7</w:t>
      </w:r>
      <w:r w:rsidRPr="00381E38">
        <w:rPr>
          <w:rFonts w:ascii="Calibri" w:hAnsi="Calibri" w:cs="Calibri"/>
          <w:bCs/>
          <w:sz w:val="24"/>
          <w:szCs w:val="24"/>
        </w:rPr>
        <w:t xml:space="preserve">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A9BD21A" w:rsidR="00D26215" w:rsidRPr="003B347D" w:rsidRDefault="00D26215" w:rsidP="00AE5C32">
      <w:pPr>
        <w:pStyle w:val="Normalny1"/>
        <w:numPr>
          <w:ilvl w:val="0"/>
          <w:numId w:val="0"/>
        </w:numPr>
        <w:jc w:val="left"/>
        <w:rPr>
          <w:rFonts w:ascii="Calibri" w:hAnsi="Calibri" w:cs="Calibri"/>
          <w:bCs/>
          <w:sz w:val="24"/>
          <w:szCs w:val="24"/>
        </w:rPr>
      </w:pPr>
      <w:r w:rsidRPr="00D26215">
        <w:rPr>
          <w:rFonts w:ascii="Calibri" w:hAnsi="Calibri" w:cs="Calibri"/>
          <w:bCs/>
          <w:sz w:val="24"/>
          <w:szCs w:val="24"/>
        </w:rPr>
        <w:t xml:space="preserve">Osobom uczestniczącym w stażu, w okresie jego trwania, można pokryć koszty opieki nad dzieckiem lub dziećmi do lat 7 oraz osobami zależnymi w wysokości wynikającej z wniosku o dofinansowanie.  </w:t>
      </w:r>
    </w:p>
    <w:p w14:paraId="761D076F" w14:textId="6ED89529" w:rsidR="007C4C47" w:rsidRPr="008663A8" w:rsidRDefault="004A79E3" w:rsidP="006F1FA8">
      <w:pPr>
        <w:pStyle w:val="Nag2"/>
      </w:pPr>
      <w:bookmarkStart w:id="10" w:name="_Toc525197120"/>
      <w:r>
        <w:t>I</w:t>
      </w:r>
      <w:r w:rsidR="006F1FA8" w:rsidRPr="006F1FA8">
        <w:t>nstrumenty i usługi rynku pracy służące zdobyciu doświadczenia</w:t>
      </w:r>
      <w:r w:rsidR="006F1FA8">
        <w:t xml:space="preserve"> zawodowego</w:t>
      </w:r>
      <w:bookmarkEnd w:id="10"/>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15ACD5F"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xml:space="preserve">, w której odbywa staż, a także monitoruje realizację przydzielonego w programie stażu zakresu obowiązków i celów edukacyjno-zawodowych oraz  udziela informacji zwrotnej stażyście na temat osiąganych wyników i </w:t>
      </w:r>
      <w:r w:rsidRPr="003A6D21">
        <w:rPr>
          <w:rFonts w:ascii="Calibri" w:hAnsi="Calibri" w:cs="Calibri"/>
          <w:sz w:val="24"/>
          <w:szCs w:val="24"/>
        </w:rPr>
        <w:lastRenderedPageBreak/>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0E4B3E">
        <w:rPr>
          <w:rFonts w:ascii="Calibri" w:hAnsi="Calibri" w:cs="Calibri"/>
          <w:sz w:val="24"/>
          <w:szCs w:val="24"/>
        </w:rPr>
        <w:t>Staż trwa nie dłużej niż 6 miesięcy kalendarzowych. W uzasadnionych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1" w:name="s1"/>
      <w:bookmarkEnd w:id="11"/>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2" w:name="s2"/>
      <w:bookmarkEnd w:id="12"/>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w:t>
      </w:r>
      <w:r w:rsidRPr="009E340A">
        <w:rPr>
          <w:rFonts w:ascii="Calibri" w:hAnsi="Calibri" w:cs="Calibri"/>
          <w:color w:val="000000" w:themeColor="text1"/>
          <w:sz w:val="24"/>
          <w:szCs w:val="24"/>
        </w:rPr>
        <w:lastRenderedPageBreak/>
        <w:t>umowy oraz zostać przedłożone wraz z notą. Posiadanie tych dokumentów przez Beneficjenta jest niezbędne dla celów kontrolnych.</w:t>
      </w:r>
    </w:p>
    <w:p w14:paraId="07E1664C" w14:textId="09F40C2C" w:rsidR="007C4C47"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5C57A9">
        <w:rPr>
          <w:rFonts w:ascii="Calibri" w:hAnsi="Calibri" w:cs="Calibri"/>
          <w:b/>
          <w:bCs/>
          <w:sz w:val="24"/>
          <w:szCs w:val="24"/>
        </w:rPr>
        <w:t>5 000,00 zł</w:t>
      </w:r>
      <w:r w:rsidRPr="005C57A9">
        <w:rPr>
          <w:rFonts w:ascii="Calibri" w:hAnsi="Calibri" w:cs="Calibri"/>
          <w:sz w:val="24"/>
          <w:szCs w:val="24"/>
        </w:rPr>
        <w:t xml:space="preserve"> brutto na 1 stażystę.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903ACF" w:rsidRPr="005C57A9">
        <w:rPr>
          <w:rFonts w:ascii="Calibri" w:hAnsi="Calibri" w:cs="Calibri"/>
          <w:sz w:val="24"/>
          <w:szCs w:val="24"/>
        </w:rPr>
        <w:t xml:space="preserve">Beneficjent </w:t>
      </w:r>
      <w:r w:rsidRPr="005C57A9">
        <w:rPr>
          <w:rFonts w:ascii="Calibri" w:hAnsi="Calibri" w:cs="Calibri"/>
          <w:sz w:val="24"/>
          <w:szCs w:val="24"/>
        </w:rPr>
        <w:t>powinien dokonać analizy potrzeb i kosztów (z uwzględnieniem cen rynkowych) w tym zakresie pod kątem kwalifikowalności wydatków, o której mowa powyżej.</w:t>
      </w:r>
    </w:p>
    <w:p w14:paraId="5F9D4ED8" w14:textId="1D0D0367" w:rsidR="009E340A" w:rsidRPr="005C57A9" w:rsidRDefault="009E340A" w:rsidP="00AE5C32">
      <w:pPr>
        <w:pStyle w:val="Normalny1"/>
        <w:numPr>
          <w:ilvl w:val="0"/>
          <w:numId w:val="0"/>
        </w:numPr>
        <w:jc w:val="left"/>
        <w:rPr>
          <w:rFonts w:ascii="Calibri" w:hAnsi="Calibri" w:cs="Calibri"/>
          <w:sz w:val="24"/>
          <w:szCs w:val="24"/>
        </w:rPr>
      </w:pPr>
      <w:r>
        <w:rPr>
          <w:rFonts w:ascii="Calibri" w:hAnsi="Calibri" w:cs="Calibri"/>
          <w:sz w:val="24"/>
          <w:szCs w:val="24"/>
        </w:rPr>
        <w:t>W przypadku pracodawców będących podatnikami VAT koszty zakupu towarów i usług są kwalifikowalne w kwotach netto.</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minimis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w sprawie udzielania pomocy de minimis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Niezależnie od tego, czy subsydiowane zatrudnienie jest realizowane jako pomoc publiczna czy jako pomoc de minimis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pomoc de minimis</w:t>
      </w:r>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lastRenderedPageBreak/>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13" w:name="s4"/>
      <w:bookmarkEnd w:id="1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696B28AF" w14:textId="08E6D051" w:rsidR="002564D5" w:rsidRDefault="00D41B46" w:rsidP="002564D5">
      <w:pPr>
        <w:pStyle w:val="Normalny1"/>
        <w:numPr>
          <w:ilvl w:val="0"/>
          <w:numId w:val="0"/>
        </w:numPr>
        <w:jc w:val="left"/>
        <w:rPr>
          <w:rFonts w:ascii="Calibri" w:hAnsi="Calibri" w:cs="Calibri"/>
          <w:sz w:val="24"/>
          <w:szCs w:val="24"/>
        </w:rPr>
      </w:pPr>
      <w:r>
        <w:rPr>
          <w:rFonts w:ascii="Calibri" w:hAnsi="Calibri" w:cs="Calibri"/>
          <w:b/>
          <w:bCs/>
          <w:sz w:val="24"/>
          <w:szCs w:val="24"/>
        </w:rPr>
        <w:t>Wyposażenie lub doposażenie stanowiska pracy</w:t>
      </w:r>
    </w:p>
    <w:p w14:paraId="03527B08" w14:textId="6E8A76A3" w:rsidR="002564D5" w:rsidRDefault="00831403" w:rsidP="00094C47">
      <w:pPr>
        <w:pStyle w:val="Normalny1"/>
        <w:numPr>
          <w:ilvl w:val="0"/>
          <w:numId w:val="0"/>
        </w:numPr>
        <w:jc w:val="left"/>
        <w:rPr>
          <w:rFonts w:ascii="Calibri" w:hAnsi="Calibri" w:cs="Calibri"/>
          <w:sz w:val="24"/>
          <w:szCs w:val="24"/>
        </w:rPr>
      </w:pPr>
      <w:r>
        <w:rPr>
          <w:rFonts w:ascii="Calibri" w:hAnsi="Calibri" w:cs="Calibri"/>
          <w:sz w:val="24"/>
          <w:szCs w:val="24"/>
        </w:rPr>
        <w:t>Wsparcie polega na zrefundowaniu przedsiębiorcy przyjmującemu uczestnika do pracy kosztów wyposażenia lub doposażenia stanowiska pracy do wysokości 6-krotności przeciętnego wynagrodzenia.</w:t>
      </w:r>
    </w:p>
    <w:p w14:paraId="70DB5446" w14:textId="77777777"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Refundacji dokonuje się na wniosek pracodawcy zawierający:</w:t>
      </w:r>
    </w:p>
    <w:p w14:paraId="293CFE90" w14:textId="77777777"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kalkulację wydatków na wyposażenie lub doposażenie poszczególnych stanowisk pracy,</w:t>
      </w:r>
    </w:p>
    <w:p w14:paraId="23FE9AFA" w14:textId="77777777"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 xml:space="preserve">szczegółową specyfikację wydatków dotyczących wyposażenia lub doposażenia stanowiska pracy, w szczególności na zakup środków trwałych, urządzeń, maszyn, w tym </w:t>
      </w:r>
      <w:r w:rsidRPr="003E0BA1">
        <w:rPr>
          <w:rFonts w:ascii="Calibri" w:hAnsi="Calibri" w:cs="Calibri"/>
          <w:sz w:val="24"/>
          <w:szCs w:val="24"/>
        </w:rPr>
        <w:lastRenderedPageBreak/>
        <w:t>środków niezbędnych do zapewnienia zgodności stanowiska pracy z przepisami bezpieczeństwa i higieny pracy oraz wymaganiami ergonomii,</w:t>
      </w:r>
    </w:p>
    <w:p w14:paraId="798C394A" w14:textId="77777777" w:rsidR="00527F6F" w:rsidRDefault="00527F6F" w:rsidP="00181A79">
      <w:pPr>
        <w:pStyle w:val="Normalny1"/>
        <w:numPr>
          <w:ilvl w:val="0"/>
          <w:numId w:val="30"/>
        </w:numPr>
        <w:ind w:left="426" w:hanging="426"/>
        <w:jc w:val="left"/>
        <w:rPr>
          <w:rFonts w:ascii="Calibri" w:hAnsi="Calibri" w:cs="Calibri"/>
          <w:sz w:val="24"/>
          <w:szCs w:val="24"/>
        </w:rPr>
      </w:pPr>
      <w:r w:rsidRPr="003E0BA1">
        <w:rPr>
          <w:rFonts w:ascii="Calibri" w:hAnsi="Calibri" w:cs="Calibri"/>
          <w:sz w:val="24"/>
          <w:szCs w:val="24"/>
        </w:rPr>
        <w:t>wskazanie kwoty podatku VAT, w przypadku gdy wnioskodawca nie jest podatnikiem VAT.</w:t>
      </w:r>
    </w:p>
    <w:p w14:paraId="137ECF3C" w14:textId="72FCE614"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W przypadku uwzględnienia wniosku pracodawcy zawierana jest umowa między</w:t>
      </w:r>
      <w:r w:rsidR="00AF3F04">
        <w:rPr>
          <w:rFonts w:ascii="Calibri" w:hAnsi="Calibri" w:cs="Calibri"/>
          <w:sz w:val="24"/>
          <w:szCs w:val="24"/>
        </w:rPr>
        <w:t xml:space="preserve"> B</w:t>
      </w:r>
      <w:r>
        <w:rPr>
          <w:rFonts w:ascii="Calibri" w:hAnsi="Calibri" w:cs="Calibri"/>
          <w:sz w:val="24"/>
          <w:szCs w:val="24"/>
        </w:rPr>
        <w:t xml:space="preserve">eneficjentem a pracodawcą. Refundacja </w:t>
      </w:r>
      <w:r w:rsidR="00AF3F04">
        <w:rPr>
          <w:rFonts w:ascii="Calibri" w:hAnsi="Calibri" w:cs="Calibri"/>
          <w:sz w:val="24"/>
          <w:szCs w:val="24"/>
        </w:rPr>
        <w:t>dokonywana jest w oparciu przedłożone przez pracodawcę rozliczenie potwierdzone dokumentami księgowymi.</w:t>
      </w:r>
    </w:p>
    <w:p w14:paraId="6B138A8B" w14:textId="278C0D00" w:rsidR="00AF3F04" w:rsidRDefault="00AF3F04" w:rsidP="00527F6F">
      <w:pPr>
        <w:pStyle w:val="Normalny1"/>
        <w:numPr>
          <w:ilvl w:val="0"/>
          <w:numId w:val="0"/>
        </w:numPr>
        <w:jc w:val="left"/>
        <w:rPr>
          <w:rFonts w:ascii="Calibri" w:hAnsi="Calibri" w:cs="Calibri"/>
          <w:sz w:val="24"/>
          <w:szCs w:val="24"/>
        </w:rPr>
      </w:pPr>
      <w:r>
        <w:rPr>
          <w:rFonts w:ascii="Calibri" w:hAnsi="Calibri" w:cs="Calibri"/>
          <w:sz w:val="24"/>
          <w:szCs w:val="24"/>
        </w:rPr>
        <w:t>Pracodawca będący podatnikiem VAT otrzymuje refundację pomniejszoną o podatek VAT. Pracodawca nie będący podatnikiem VAT otrzymuje refundację w kwocie brutto.</w:t>
      </w:r>
    </w:p>
    <w:p w14:paraId="42DB7910" w14:textId="74B2C819" w:rsidR="00993F6E" w:rsidRPr="003E0BA1" w:rsidRDefault="00993F6E" w:rsidP="00527F6F">
      <w:pPr>
        <w:pStyle w:val="Normalny1"/>
        <w:numPr>
          <w:ilvl w:val="0"/>
          <w:numId w:val="0"/>
        </w:numPr>
        <w:jc w:val="left"/>
        <w:rPr>
          <w:rFonts w:ascii="Calibri" w:hAnsi="Calibri" w:cs="Calibri"/>
          <w:sz w:val="24"/>
          <w:szCs w:val="24"/>
        </w:rPr>
      </w:pPr>
      <w:r>
        <w:rPr>
          <w:rFonts w:ascii="Calibri" w:hAnsi="Calibri" w:cs="Calibri"/>
          <w:sz w:val="24"/>
          <w:szCs w:val="24"/>
        </w:rPr>
        <w:t xml:space="preserve">Elementem prawidłowego rozliczenia refundacji przez Beneficjenta jest </w:t>
      </w:r>
      <w:r w:rsidR="00220AF0">
        <w:rPr>
          <w:rFonts w:ascii="Calibri" w:hAnsi="Calibri" w:cs="Calibri"/>
          <w:sz w:val="24"/>
          <w:szCs w:val="24"/>
        </w:rPr>
        <w:t xml:space="preserve">sprawdzenie statusu podatkowego pracodawcy na stronie </w:t>
      </w:r>
      <w:hyperlink r:id="rId9" w:history="1">
        <w:r w:rsidR="00220AF0" w:rsidRPr="00C073F3">
          <w:rPr>
            <w:rStyle w:val="Hipercze"/>
            <w:rFonts w:ascii="Calibri" w:hAnsi="Calibri" w:cs="Calibri"/>
            <w:sz w:val="24"/>
            <w:szCs w:val="24"/>
          </w:rPr>
          <w:t>https://ppuslugi.mf.gov.pl/</w:t>
        </w:r>
      </w:hyperlink>
      <w:r w:rsidR="00220AF0">
        <w:rPr>
          <w:rFonts w:ascii="Calibri" w:hAnsi="Calibri" w:cs="Calibri"/>
          <w:sz w:val="24"/>
          <w:szCs w:val="24"/>
        </w:rPr>
        <w:t xml:space="preserve">. </w:t>
      </w:r>
      <w:r w:rsidR="003A03EC">
        <w:rPr>
          <w:rFonts w:ascii="Calibri" w:hAnsi="Calibri" w:cs="Calibri"/>
          <w:sz w:val="24"/>
          <w:szCs w:val="24"/>
        </w:rPr>
        <w:t>Jeżeli nastąpiła zmiana, w wyniku której</w:t>
      </w:r>
      <w:r w:rsidR="003A03EC" w:rsidRPr="003A03EC">
        <w:rPr>
          <w:rFonts w:ascii="Calibri" w:hAnsi="Calibri" w:cs="Calibri"/>
          <w:sz w:val="24"/>
          <w:szCs w:val="24"/>
        </w:rPr>
        <w:t xml:space="preserve"> pracodawca </w:t>
      </w:r>
      <w:r w:rsidR="003A03EC">
        <w:rPr>
          <w:rFonts w:ascii="Calibri" w:hAnsi="Calibri" w:cs="Calibri"/>
          <w:sz w:val="24"/>
          <w:szCs w:val="24"/>
        </w:rPr>
        <w:t xml:space="preserve">stał się </w:t>
      </w:r>
      <w:r w:rsidR="003A03EC" w:rsidRPr="003A03EC">
        <w:rPr>
          <w:rFonts w:ascii="Calibri" w:hAnsi="Calibri" w:cs="Calibri"/>
          <w:sz w:val="24"/>
          <w:szCs w:val="24"/>
        </w:rPr>
        <w:t xml:space="preserve"> podatnik</w:t>
      </w:r>
      <w:r w:rsidR="003A03EC">
        <w:rPr>
          <w:rFonts w:ascii="Calibri" w:hAnsi="Calibri" w:cs="Calibri"/>
          <w:sz w:val="24"/>
          <w:szCs w:val="24"/>
        </w:rPr>
        <w:t xml:space="preserve">iem </w:t>
      </w:r>
      <w:r w:rsidR="003A03EC" w:rsidRPr="003A03EC">
        <w:rPr>
          <w:rFonts w:ascii="Calibri" w:hAnsi="Calibri" w:cs="Calibri"/>
          <w:sz w:val="24"/>
          <w:szCs w:val="24"/>
        </w:rPr>
        <w:t xml:space="preserve">VAT, </w:t>
      </w:r>
      <w:r w:rsidR="003A03EC">
        <w:rPr>
          <w:rFonts w:ascii="Calibri" w:hAnsi="Calibri" w:cs="Calibri"/>
          <w:sz w:val="24"/>
          <w:szCs w:val="24"/>
        </w:rPr>
        <w:t xml:space="preserve"> </w:t>
      </w:r>
      <w:r w:rsidR="003A03EC" w:rsidRPr="003A03EC">
        <w:rPr>
          <w:rFonts w:ascii="Calibri" w:hAnsi="Calibri" w:cs="Calibri"/>
          <w:sz w:val="24"/>
          <w:szCs w:val="24"/>
        </w:rPr>
        <w:t xml:space="preserve">zobowiązany </w:t>
      </w:r>
      <w:r w:rsidR="003A03EC">
        <w:rPr>
          <w:rFonts w:ascii="Calibri" w:hAnsi="Calibri" w:cs="Calibri"/>
          <w:sz w:val="24"/>
          <w:szCs w:val="24"/>
        </w:rPr>
        <w:t xml:space="preserve">jest </w:t>
      </w:r>
      <w:r w:rsidR="003A03EC" w:rsidRPr="003A03EC">
        <w:rPr>
          <w:rFonts w:ascii="Calibri" w:hAnsi="Calibri" w:cs="Calibri"/>
          <w:sz w:val="24"/>
          <w:szCs w:val="24"/>
        </w:rPr>
        <w:t>do zwrotu podatku VAT wykazanego na dokumentach księgowych załączonych do rozl</w:t>
      </w:r>
      <w:r w:rsidR="00B242D3">
        <w:rPr>
          <w:rFonts w:ascii="Calibri" w:hAnsi="Calibri" w:cs="Calibri"/>
          <w:sz w:val="24"/>
          <w:szCs w:val="24"/>
        </w:rPr>
        <w:t>iczenia.</w:t>
      </w:r>
    </w:p>
    <w:p w14:paraId="1462A3FE" w14:textId="3B2B07E8" w:rsidR="007C4C47" w:rsidRPr="0064274B" w:rsidRDefault="007C4C47" w:rsidP="006873EE">
      <w:pPr>
        <w:pStyle w:val="Nag1"/>
        <w:rPr>
          <w:lang w:eastAsia="pl-PL"/>
        </w:rPr>
      </w:pPr>
      <w:bookmarkStart w:id="14" w:name="_Toc488995876"/>
      <w:bookmarkStart w:id="15" w:name="s5"/>
      <w:bookmarkStart w:id="16" w:name="_Toc525197121"/>
      <w:bookmarkEnd w:id="14"/>
      <w:bookmarkEnd w:id="15"/>
      <w:r w:rsidRPr="008B5560">
        <w:t>MECHANIZM RACJONALNYCH USPRAWNIEŃ</w:t>
      </w:r>
      <w:r w:rsidRPr="0064274B">
        <w:rPr>
          <w:rStyle w:val="Znakiprzypiswdolnych"/>
        </w:rPr>
        <w:footnoteReference w:id="6"/>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7" w:name="_Toc525197122"/>
      <w:r w:rsidRPr="008A2597">
        <w:t>KOSZTY DOJAZDU UCZESTNIKA PROJEKTU / PERSONELU PROJEKTU</w:t>
      </w:r>
      <w:bookmarkEnd w:id="17"/>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 xml:space="preserve">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w:t>
      </w:r>
      <w:r w:rsidR="00E90B26" w:rsidRPr="00E90B26">
        <w:rPr>
          <w:rFonts w:ascii="Calibri" w:hAnsi="Calibri" w:cs="Calibri"/>
          <w:sz w:val="24"/>
          <w:szCs w:val="24"/>
        </w:rPr>
        <w:lastRenderedPageBreak/>
        <w:t>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525197123"/>
      <w:r w:rsidRPr="004D5B7A">
        <w:t>KATALOG CEN RYNKOWYCH</w:t>
      </w:r>
      <w:bookmarkEnd w:id="18"/>
    </w:p>
    <w:p w14:paraId="386FFF09" w14:textId="5F705D75"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personelu/ osób zatrudnianych na umowy cywilnoprawnych, tzw. ubruttowione brutto</w:t>
      </w:r>
      <w:r w:rsidRPr="002927DF">
        <w:rPr>
          <w:sz w:val="24"/>
          <w:szCs w:val="24"/>
          <w:lang w:eastAsia="pl-PL"/>
        </w:rPr>
        <w:t>) wydatków najczęściej występujących we wnioskach o dofinansowanie projektu.</w:t>
      </w:r>
    </w:p>
    <w:p w14:paraId="3B97BC2F" w14:textId="00B414C2"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2927DF" w:rsidRDefault="007C4C47" w:rsidP="00CE3B5B">
      <w:pPr>
        <w:pStyle w:val="Normalny1"/>
        <w:numPr>
          <w:ilvl w:val="0"/>
          <w:numId w:val="0"/>
        </w:numPr>
        <w:jc w:val="left"/>
        <w:rPr>
          <w:rFonts w:ascii="Calibri" w:hAnsi="Calibri" w:cs="Calibri"/>
          <w:sz w:val="24"/>
          <w:szCs w:val="24"/>
        </w:rPr>
      </w:pPr>
      <w:r w:rsidRPr="002927DF">
        <w:rPr>
          <w:rFonts w:ascii="Calibri" w:hAnsi="Calibri" w:cs="Calibri"/>
          <w:sz w:val="24"/>
          <w:szCs w:val="24"/>
        </w:rPr>
        <w:t>Zgodnie z Wytycznymi w zakresie kwalifikowalności wydatków w ramach EFRR, EFS oraz FS na lata 2014-2020 podatek od towarów i usług (VAT) może być uznany za wydatek kwalifikowalny</w:t>
      </w:r>
      <w:r w:rsidR="00CE3B5B">
        <w:rPr>
          <w:rFonts w:ascii="Calibri" w:hAnsi="Calibri" w:cs="Calibri"/>
          <w:sz w:val="24"/>
          <w:szCs w:val="24"/>
        </w:rPr>
        <w:t xml:space="preserve"> </w:t>
      </w:r>
      <w:r w:rsidR="00CE3B5B" w:rsidRPr="00CE3B5B">
        <w:rPr>
          <w:rFonts w:ascii="Calibri" w:hAnsi="Calibri" w:cs="Calibri"/>
          <w:sz w:val="24"/>
          <w:szCs w:val="24"/>
        </w:rPr>
        <w:t xml:space="preserve">wyłącznie wówczas, gdy </w:t>
      </w:r>
      <w:r w:rsidR="00CE3B5B">
        <w:rPr>
          <w:rFonts w:ascii="Calibri" w:hAnsi="Calibri" w:cs="Calibri"/>
          <w:sz w:val="24"/>
          <w:szCs w:val="24"/>
        </w:rPr>
        <w:t>B</w:t>
      </w:r>
      <w:r w:rsidR="00CE3B5B" w:rsidRPr="00CE3B5B">
        <w:rPr>
          <w:rFonts w:ascii="Calibri" w:hAnsi="Calibri" w:cs="Calibri"/>
          <w:sz w:val="24"/>
          <w:szCs w:val="24"/>
        </w:rPr>
        <w:t>eneficjentowi ani żadnemu innemu</w:t>
      </w:r>
      <w:r w:rsidR="00CE3B5B">
        <w:rPr>
          <w:rFonts w:ascii="Calibri" w:hAnsi="Calibri" w:cs="Calibri"/>
          <w:sz w:val="24"/>
          <w:szCs w:val="24"/>
        </w:rPr>
        <w:t xml:space="preserve"> </w:t>
      </w:r>
      <w:r w:rsidR="00CE3B5B" w:rsidRPr="00CE3B5B">
        <w:rPr>
          <w:rFonts w:ascii="Calibri" w:hAnsi="Calibri" w:cs="Calibri"/>
          <w:sz w:val="24"/>
          <w:szCs w:val="24"/>
        </w:rPr>
        <w:t>podmiotowi zaangażowanemu w projekt oraz wykorzystującemu do działalności</w:t>
      </w:r>
      <w:r w:rsidR="00CE3B5B">
        <w:rPr>
          <w:rFonts w:ascii="Calibri" w:hAnsi="Calibri" w:cs="Calibri"/>
          <w:sz w:val="24"/>
          <w:szCs w:val="24"/>
        </w:rPr>
        <w:t xml:space="preserve"> </w:t>
      </w:r>
      <w:r w:rsidR="00CE3B5B" w:rsidRPr="00CE3B5B">
        <w:rPr>
          <w:rFonts w:ascii="Calibri" w:hAnsi="Calibri" w:cs="Calibri"/>
          <w:sz w:val="24"/>
          <w:szCs w:val="24"/>
        </w:rPr>
        <w:t xml:space="preserve">opodatkowanej </w:t>
      </w:r>
      <w:r w:rsidR="00CE3B5B" w:rsidRPr="00CE3B5B">
        <w:rPr>
          <w:rFonts w:ascii="Calibri" w:hAnsi="Calibri" w:cs="Calibri"/>
          <w:sz w:val="24"/>
          <w:szCs w:val="24"/>
        </w:rPr>
        <w:lastRenderedPageBreak/>
        <w:t>produkty będące efektem realizacji projektu, zarówno w fazie</w:t>
      </w:r>
      <w:r w:rsidR="00CE3B5B">
        <w:rPr>
          <w:rFonts w:ascii="Calibri" w:hAnsi="Calibri" w:cs="Calibri"/>
          <w:sz w:val="24"/>
          <w:szCs w:val="24"/>
        </w:rPr>
        <w:t xml:space="preserve"> </w:t>
      </w:r>
      <w:r w:rsidR="00CE3B5B" w:rsidRPr="00CE3B5B">
        <w:rPr>
          <w:rFonts w:ascii="Calibri" w:hAnsi="Calibri" w:cs="Calibri"/>
          <w:sz w:val="24"/>
          <w:szCs w:val="24"/>
        </w:rPr>
        <w:t>realizacyjnej jak i operacyjnej, zgodnie z obowiązującym prawodawstwem krajowym, nie</w:t>
      </w:r>
      <w:r w:rsidR="00CE3B5B">
        <w:rPr>
          <w:rFonts w:ascii="Calibri" w:hAnsi="Calibri" w:cs="Calibri"/>
          <w:sz w:val="24"/>
          <w:szCs w:val="24"/>
        </w:rPr>
        <w:t xml:space="preserve"> </w:t>
      </w:r>
      <w:r w:rsidR="00CE3B5B" w:rsidRPr="00CE3B5B">
        <w:rPr>
          <w:rFonts w:ascii="Calibri" w:hAnsi="Calibri" w:cs="Calibri"/>
          <w:sz w:val="24"/>
          <w:szCs w:val="24"/>
        </w:rPr>
        <w:t>przysługuje prawo (tzn. brak jest prawnych możliwości) do obniżenia kwoty podatku</w:t>
      </w:r>
      <w:r w:rsidR="00CE3B5B">
        <w:rPr>
          <w:rFonts w:ascii="Calibri" w:hAnsi="Calibri" w:cs="Calibri"/>
          <w:sz w:val="24"/>
          <w:szCs w:val="24"/>
        </w:rPr>
        <w:t xml:space="preserve"> </w:t>
      </w:r>
      <w:r w:rsidR="00CE3B5B" w:rsidRPr="00CE3B5B">
        <w:rPr>
          <w:rFonts w:ascii="Calibri" w:hAnsi="Calibri" w:cs="Calibri"/>
          <w:sz w:val="24"/>
          <w:szCs w:val="24"/>
        </w:rPr>
        <w:t>należnego o kwotę podatku naliczonego lub ubiegania się o zwrot VAT. Posiadanie</w:t>
      </w:r>
      <w:r w:rsidR="00CE3B5B">
        <w:rPr>
          <w:rFonts w:ascii="Calibri" w:hAnsi="Calibri" w:cs="Calibri"/>
          <w:sz w:val="24"/>
          <w:szCs w:val="24"/>
        </w:rPr>
        <w:t xml:space="preserve"> </w:t>
      </w:r>
      <w:r w:rsidR="00CE3B5B" w:rsidRPr="00CE3B5B">
        <w:rPr>
          <w:rFonts w:ascii="Calibri" w:hAnsi="Calibri" w:cs="Calibri"/>
          <w:sz w:val="24"/>
          <w:szCs w:val="24"/>
        </w:rPr>
        <w:t>wyżej wymienionego prawa (potencjalnej prawnej możliwości) wyklucza uznanie</w:t>
      </w:r>
      <w:r w:rsidR="00CE3B5B">
        <w:rPr>
          <w:rFonts w:ascii="Calibri" w:hAnsi="Calibri" w:cs="Calibri"/>
          <w:sz w:val="24"/>
          <w:szCs w:val="24"/>
        </w:rPr>
        <w:t xml:space="preserve"> </w:t>
      </w:r>
      <w:r w:rsidR="00CE3B5B" w:rsidRPr="00CE3B5B">
        <w:rPr>
          <w:rFonts w:ascii="Calibri" w:hAnsi="Calibri" w:cs="Calibri"/>
          <w:sz w:val="24"/>
          <w:szCs w:val="24"/>
        </w:rPr>
        <w:t>wydatku za kwalifikowalny, nawet jeśli faktycznie zwrot nie nastąpił, np. ze względu na</w:t>
      </w:r>
      <w:r w:rsidR="009931BD">
        <w:rPr>
          <w:rFonts w:ascii="Calibri" w:hAnsi="Calibri" w:cs="Calibri"/>
          <w:sz w:val="24"/>
          <w:szCs w:val="24"/>
        </w:rPr>
        <w:t xml:space="preserve"> </w:t>
      </w:r>
      <w:r w:rsidR="00CE3B5B" w:rsidRPr="00CE3B5B">
        <w:rPr>
          <w:rFonts w:ascii="Calibri" w:hAnsi="Calibri" w:cs="Calibri"/>
          <w:sz w:val="24"/>
          <w:szCs w:val="24"/>
        </w:rPr>
        <w:t>niepodjęcie przez podmiot czynności zmierzających do realizacji tego prawa</w:t>
      </w:r>
      <w:r w:rsidRPr="002927DF">
        <w:rPr>
          <w:rFonts w:ascii="Calibri" w:hAnsi="Calibri" w:cs="Calibri"/>
          <w:sz w:val="24"/>
          <w:szCs w:val="24"/>
        </w:rPr>
        <w:t xml:space="preserve">. </w:t>
      </w:r>
    </w:p>
    <w:p w14:paraId="2426B49B" w14:textId="47321569"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Przedstawione poniżej ceny zawierają  podatek od towarów i usług VAT. W przypadku niekwalfikowania podatku VAT należy zaplanować w budżecie projektu koszty proporcjonalnie niższe.</w:t>
      </w:r>
    </w:p>
    <w:p w14:paraId="7BEB74EC" w14:textId="26C83A24" w:rsidR="007C4C47" w:rsidRPr="00904A34" w:rsidRDefault="007C4C47" w:rsidP="00736D2C">
      <w:pPr>
        <w:pStyle w:val="Nag2"/>
      </w:pPr>
      <w:bookmarkStart w:id="19" w:name="_Toc525197124"/>
      <w:r w:rsidRPr="004D5B7A">
        <w:t xml:space="preserve">Personel </w:t>
      </w:r>
      <w:r w:rsidRPr="00904A34">
        <w:t>projektu</w:t>
      </w:r>
      <w:r w:rsidR="00A20DB3" w:rsidRPr="00904A34">
        <w:t>/wykonawca usługi</w:t>
      </w:r>
      <w:bookmarkEnd w:id="19"/>
    </w:p>
    <w:p w14:paraId="12F1810A" w14:textId="54D984F5"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beneficjent realizujący samodzielnie w ramach projektu dane szkolenie i angażujący w związku z tym trenera, posiada wpis do RIS </w:t>
            </w:r>
            <w:r w:rsidR="00DB78D1" w:rsidRPr="00DB78D1">
              <w:rPr>
                <w:lang w:eastAsia="pl-PL"/>
              </w:rPr>
              <w:lastRenderedPageBreak/>
              <w:t>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lastRenderedPageBreak/>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lastRenderedPageBreak/>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61D5DA6E" w14:textId="0935A0F9" w:rsidR="004803CD" w:rsidRPr="004803CD" w:rsidRDefault="004803CD" w:rsidP="004C3615">
            <w:pPr>
              <w:numPr>
                <w:ilvl w:val="0"/>
                <w:numId w:val="9"/>
              </w:numPr>
              <w:tabs>
                <w:tab w:val="num" w:pos="360"/>
              </w:tabs>
              <w:spacing w:after="0" w:line="240" w:lineRule="auto"/>
              <w:ind w:left="355"/>
              <w:rPr>
                <w:lang w:eastAsia="pl-PL"/>
              </w:rPr>
            </w:pPr>
            <w:r w:rsidRPr="004803CD">
              <w:rPr>
                <w:lang w:eastAsia="pl-PL"/>
              </w:rPr>
              <w:t>Wydatek kwalifikowalny, o ile psycholog posiada wykształcenie wyższe/zawodowe lub certyfikaty/zaświadczenia/inne oraz</w:t>
            </w:r>
            <w:r>
              <w:rPr>
                <w:lang w:eastAsia="pl-PL"/>
              </w:rPr>
              <w:t xml:space="preserve"> </w:t>
            </w:r>
            <w:r w:rsidRPr="004803CD">
              <w:rPr>
                <w:lang w:eastAsia="pl-PL"/>
              </w:rPr>
              <w:t>doświadczenie zawodowe umożliwiające przeprowadzenie danego wsparcia, przy czym minimalne doświadczenie zawodowe w danej dziedzinie/w pracy z określoną grupą docelową nie powinno być kró</w:t>
            </w:r>
            <w:r w:rsidR="00A825B7">
              <w:rPr>
                <w:lang w:eastAsia="pl-PL"/>
              </w:rPr>
              <w:t>tsze niż rok</w:t>
            </w:r>
            <w:r w:rsidRPr="004803CD">
              <w:rPr>
                <w:lang w:eastAsia="pl-PL"/>
              </w:rPr>
              <w:t xml:space="preserve">.  </w:t>
            </w:r>
          </w:p>
          <w:p w14:paraId="6B3AB0F0" w14:textId="5E5399C6" w:rsidR="002D47E4" w:rsidRDefault="004803CD" w:rsidP="005908A2">
            <w:pPr>
              <w:numPr>
                <w:ilvl w:val="0"/>
                <w:numId w:val="9"/>
              </w:numPr>
              <w:tabs>
                <w:tab w:val="num" w:pos="360"/>
              </w:tabs>
              <w:spacing w:after="0" w:line="240" w:lineRule="auto"/>
              <w:ind w:left="355"/>
              <w:rPr>
                <w:lang w:eastAsia="pl-PL"/>
              </w:rPr>
            </w:pPr>
            <w:r w:rsidRPr="004803CD">
              <w:rPr>
                <w:lang w:eastAsia="pl-PL"/>
              </w:rPr>
              <w:t xml:space="preserve">Zgodnie z </w:t>
            </w:r>
            <w:r>
              <w:rPr>
                <w:lang w:eastAsia="pl-PL"/>
              </w:rPr>
              <w:t>u</w:t>
            </w:r>
            <w:r w:rsidRPr="004803CD">
              <w:rPr>
                <w:lang w:eastAsia="pl-PL"/>
              </w:rPr>
              <w:t>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zdolność do czynności prawnych,</w:t>
            </w:r>
            <w:r w:rsidR="005908A2">
              <w:rPr>
                <w:lang w:eastAsia="pl-PL"/>
              </w:rPr>
              <w:t xml:space="preserve"> </w:t>
            </w:r>
            <w:r w:rsidRPr="004803CD">
              <w:rPr>
                <w:lang w:eastAsia="pl-PL"/>
              </w:rPr>
              <w:t>włada językiem polskim w mowie i piśmie w zakresie koniecznym do wykonywania zawodu psychologa,</w:t>
            </w:r>
            <w:r>
              <w:rPr>
                <w:lang w:eastAsia="pl-PL"/>
              </w:rPr>
              <w:t xml:space="preserve"> </w:t>
            </w:r>
            <w:r w:rsidRPr="004803CD">
              <w:rPr>
                <w:lang w:eastAsia="pl-PL"/>
              </w:rPr>
              <w:t xml:space="preserve">odbyła podyplomowy staż zawodowy, pod merytorycznym nadzorem psychologa posiadającego prawo wykonywania zawodu, który ponosi </w:t>
            </w:r>
            <w:r w:rsidRPr="004803CD">
              <w:rPr>
                <w:lang w:eastAsia="pl-PL"/>
              </w:rPr>
              <w:lastRenderedPageBreak/>
              <w:t>odpowiedzialność za czynności zawodowe wykonywane przez psychologa - stażystę. W trakcie podyplomowego stażu zawodowego psycholog uzyskuje ograniczone prawo wykonywania zawodu. Po odbyciu stażu uzyskała prawo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lastRenderedPageBreak/>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D6CBFD" w:rsidR="003A2116" w:rsidRPr="003A2116" w:rsidRDefault="009274BD"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wolontariackie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77777777" w:rsidR="003A2116" w:rsidRPr="003A2116" w:rsidRDefault="003A2116" w:rsidP="003E5E8C">
            <w:pPr>
              <w:spacing w:before="60" w:after="60" w:line="240" w:lineRule="auto"/>
              <w:jc w:val="center"/>
              <w:rPr>
                <w:rFonts w:cs="Arial"/>
                <w:color w:val="000000"/>
                <w:lang w:eastAsia="pl-PL"/>
              </w:rPr>
            </w:pPr>
            <w:r w:rsidRPr="003A2116">
              <w:rPr>
                <w:rFonts w:cs="Arial"/>
                <w:color w:val="000000"/>
                <w:lang w:eastAsia="pl-PL"/>
              </w:rPr>
              <w:t>25 zł</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388C761" w:rsidR="003A2116" w:rsidRPr="003A2116" w:rsidRDefault="00295A41"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6</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7F24CA14"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Warunkiem zatrudnienia AON jest ukończone kształcenie w zawodzie asystenta osoby z niepełnosprawnościami zgodnie z rozporządzeniem Ministra Edukacji Narodowej z dnia 7 lutego 2012 r. w sprawie podstawy programowej kształcenia w zawodach (Dz. U. poz. 184, z</w:t>
            </w:r>
            <w:r w:rsidR="00AE1EE2">
              <w:rPr>
                <w:rFonts w:cs="Arial"/>
                <w:lang w:eastAsia="pl-PL"/>
              </w:rPr>
              <w:t xml:space="preserve"> późn. zm.).</w:t>
            </w:r>
          </w:p>
        </w:tc>
        <w:tc>
          <w:tcPr>
            <w:tcW w:w="1420" w:type="dxa"/>
            <w:tcBorders>
              <w:top w:val="single" w:sz="4" w:space="0" w:color="000000"/>
              <w:left w:val="single" w:sz="4" w:space="0" w:color="000000"/>
              <w:bottom w:val="single" w:sz="4" w:space="0" w:color="000000"/>
              <w:right w:val="single" w:sz="4" w:space="0" w:color="000000"/>
            </w:tcBorders>
          </w:tcPr>
          <w:p w14:paraId="220F7500" w14:textId="77777777" w:rsidR="003A2116" w:rsidRPr="003A2116" w:rsidRDefault="003A2116" w:rsidP="009E0FA0">
            <w:pPr>
              <w:spacing w:before="60" w:after="60" w:line="240" w:lineRule="auto"/>
              <w:jc w:val="right"/>
              <w:rPr>
                <w:rFonts w:cs="Arial"/>
                <w:lang w:eastAsia="pl-PL"/>
              </w:rPr>
            </w:pPr>
            <w:r w:rsidRPr="003A2116">
              <w:rPr>
                <w:rFonts w:cs="Arial"/>
                <w:lang w:eastAsia="pl-PL"/>
              </w:rPr>
              <w:t>30 zł</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7491FEA0" w:rsidR="003A2116" w:rsidRPr="003A2116" w:rsidRDefault="003A2116" w:rsidP="003E5E8C">
            <w:pPr>
              <w:spacing w:before="60" w:after="60" w:line="240" w:lineRule="auto"/>
              <w:jc w:val="right"/>
              <w:rPr>
                <w:rFonts w:asciiTheme="minorHAnsi" w:hAnsiTheme="minorHAnsi" w:cstheme="minorHAnsi"/>
                <w:color w:val="000000"/>
                <w:lang w:eastAsia="pl-PL"/>
              </w:rPr>
            </w:pPr>
            <w:r w:rsidRPr="003A2116">
              <w:rPr>
                <w:rFonts w:cs="Arial"/>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654BE26A" w:rsidR="003A2116" w:rsidRPr="003A2116" w:rsidRDefault="003A2116" w:rsidP="003E5E8C">
            <w:pPr>
              <w:spacing w:before="60" w:after="60" w:line="240" w:lineRule="auto"/>
              <w:jc w:val="center"/>
              <w:rPr>
                <w:rFonts w:asciiTheme="minorHAnsi" w:hAnsiTheme="minorHAnsi" w:cstheme="minorHAnsi"/>
                <w:lang w:eastAsia="pl-PL"/>
              </w:rPr>
            </w:pPr>
            <w:r w:rsidRPr="003A2116">
              <w:rPr>
                <w:rFonts w:cs="Arial"/>
                <w:lang w:eastAsia="pl-PL"/>
              </w:rPr>
              <w:t>umowa cywilno-prawna z czasem pracy 160 h/m-c.</w:t>
            </w:r>
          </w:p>
        </w:tc>
      </w:tr>
    </w:tbl>
    <w:p w14:paraId="292A88CE" w14:textId="77777777" w:rsidR="007C4C47" w:rsidRPr="009F1E50" w:rsidRDefault="007C4C47" w:rsidP="00736D2C">
      <w:pPr>
        <w:pStyle w:val="Nag2"/>
      </w:pPr>
      <w:bookmarkStart w:id="20" w:name="_Toc525197125"/>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 xml:space="preserve">Koszt obejmuje dwa dania  (zupa i drugie danie) oraz napój, przy czym istnieje możliwość szerszego zakresu </w:t>
            </w:r>
            <w:r w:rsidRPr="002403F9">
              <w:rPr>
                <w:lang w:eastAsia="pl-PL"/>
              </w:rPr>
              <w:lastRenderedPageBreak/>
              <w:t>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lastRenderedPageBreak/>
              <w:t>35,00 zł</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lastRenderedPageBreak/>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0111DD2E" w:rsidR="003A4136" w:rsidRPr="003A4136" w:rsidRDefault="003A4136" w:rsidP="003A4136">
            <w:pPr>
              <w:spacing w:after="0" w:line="240" w:lineRule="auto"/>
              <w:jc w:val="center"/>
              <w:rPr>
                <w:lang w:eastAsia="pl-PL"/>
              </w:rPr>
            </w:pPr>
            <w:r w:rsidRPr="003A4136">
              <w:rPr>
                <w:rFonts w:cs="Arial"/>
                <w:lang w:eastAsia="pl-PL"/>
              </w:rPr>
              <w:t>25 zł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w:t>
            </w:r>
            <w:r w:rsidRPr="00F14602">
              <w:rPr>
                <w:lang w:eastAsia="pl-PL"/>
              </w:rPr>
              <w:lastRenderedPageBreak/>
              <w:t>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77777777" w:rsidR="003A4136" w:rsidRPr="004F75DD" w:rsidRDefault="003A4136" w:rsidP="003A4136">
            <w:pPr>
              <w:spacing w:after="0" w:line="240" w:lineRule="auto"/>
              <w:jc w:val="center"/>
              <w:rPr>
                <w:lang w:eastAsia="pl-PL"/>
              </w:rPr>
            </w:pPr>
            <w:r w:rsidRPr="004F75DD">
              <w:rPr>
                <w:lang w:eastAsia="pl-PL"/>
              </w:rPr>
              <w:lastRenderedPageBreak/>
              <w:t>15,00 zł</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tablice flipchart lub tablice suchościeralne,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cena obejmuje wynajem krótkoterminowy (w przypadku wynajmu sal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lastRenderedPageBreak/>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70179111" w:rsidR="003A4136" w:rsidRPr="00431E20" w:rsidRDefault="003A4136" w:rsidP="003A4136">
            <w:pPr>
              <w:spacing w:after="0" w:line="240" w:lineRule="auto"/>
              <w:jc w:val="center"/>
              <w:rPr>
                <w:lang w:eastAsia="pl-PL"/>
              </w:rPr>
            </w:pPr>
            <w:r>
              <w:rPr>
                <w:lang w:eastAsia="pl-PL"/>
              </w:rPr>
              <w:lastRenderedPageBreak/>
              <w:t>7</w:t>
            </w:r>
            <w:r w:rsidRPr="00431E20">
              <w:rPr>
                <w:lang w:eastAsia="pl-PL"/>
              </w:rPr>
              <w:t>5,00 zł</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lastRenderedPageBreak/>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cena obejmuje wynajem krótkoterminowy (w przypadku wynajmu sal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77777777" w:rsidR="003A4136" w:rsidRPr="00ED7884" w:rsidRDefault="003A4136" w:rsidP="003A4136">
            <w:pPr>
              <w:spacing w:after="0" w:line="240" w:lineRule="auto"/>
              <w:jc w:val="center"/>
              <w:rPr>
                <w:lang w:eastAsia="pl-PL"/>
              </w:rPr>
            </w:pPr>
            <w:r w:rsidRPr="00ED7884">
              <w:rPr>
                <w:lang w:eastAsia="pl-PL"/>
              </w:rPr>
              <w:t>45,00 zł</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Koszt obejmuje salę wyposażoną zgodnie z potrzebami projektu, m.in. w stoły, krzesła,  tablice flipchart lub tablice suchościeralne,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t>
            </w:r>
            <w:r w:rsidRPr="00846A67">
              <w:rPr>
                <w:lang w:eastAsia="pl-PL"/>
              </w:rPr>
              <w:lastRenderedPageBreak/>
              <w:t>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t>cena obejmuje wynajem krótkoterminowy (w przypadku wynajmu sal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40533FE2" w:rsidR="003A4136" w:rsidRPr="00137F10" w:rsidRDefault="003A4136" w:rsidP="003A4136">
            <w:pPr>
              <w:spacing w:after="0" w:line="240" w:lineRule="auto"/>
              <w:jc w:val="center"/>
              <w:rPr>
                <w:lang w:eastAsia="pl-PL"/>
              </w:rPr>
            </w:pPr>
            <w:r>
              <w:rPr>
                <w:lang w:eastAsia="pl-PL"/>
              </w:rPr>
              <w:lastRenderedPageBreak/>
              <w:t>35</w:t>
            </w:r>
            <w:r w:rsidRPr="00137F10">
              <w:rPr>
                <w:lang w:eastAsia="pl-PL"/>
              </w:rPr>
              <w:t>,00 zł</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934F8A">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77777777" w:rsidR="003A4136" w:rsidRPr="00934F8A" w:rsidRDefault="003A4136" w:rsidP="003A4136">
            <w:pPr>
              <w:spacing w:after="0" w:line="240" w:lineRule="auto"/>
              <w:rPr>
                <w:lang w:eastAsia="pl-PL"/>
              </w:rPr>
            </w:pPr>
            <w:r w:rsidRPr="00934F8A">
              <w:rPr>
                <w:lang w:eastAsia="pl-PL"/>
              </w:rPr>
              <w:t xml:space="preserve">65,00 zł </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3A4136">
            <w:pPr>
              <w:suppressAutoHyphens w:val="0"/>
              <w:spacing w:after="0" w:line="240" w:lineRule="auto"/>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934F8A">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7777777" w:rsidR="003A4136" w:rsidRPr="00934F8A" w:rsidRDefault="003A4136" w:rsidP="003A4136">
            <w:pPr>
              <w:spacing w:after="0" w:line="240" w:lineRule="auto"/>
              <w:rPr>
                <w:lang w:eastAsia="pl-PL"/>
              </w:rPr>
            </w:pPr>
            <w:r w:rsidRPr="00934F8A">
              <w:rPr>
                <w:lang w:eastAsia="pl-PL"/>
              </w:rPr>
              <w:t>180,00 zł</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3A4136">
            <w:pPr>
              <w:suppressAutoHyphens w:val="0"/>
              <w:spacing w:after="0" w:line="240" w:lineRule="auto"/>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C366CE">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72540A">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77777777" w:rsidR="0075382B" w:rsidRPr="0075382B" w:rsidRDefault="0075382B" w:rsidP="0075382B">
            <w:pPr>
              <w:numPr>
                <w:ilvl w:val="0"/>
                <w:numId w:val="10"/>
              </w:numPr>
              <w:suppressAutoHyphens w:val="0"/>
              <w:spacing w:after="0" w:line="240" w:lineRule="auto"/>
              <w:ind w:left="355" w:hanging="357"/>
            </w:pPr>
            <w:r w:rsidRPr="0075382B">
              <w:t>obejmuje zestaw składający się z teczki, notesu, długopisu lub zestawu z dodatkowym pendrive, co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77777777" w:rsidR="0075382B" w:rsidRPr="0075382B" w:rsidRDefault="0075382B" w:rsidP="0075382B">
            <w:pPr>
              <w:spacing w:after="0" w:line="240" w:lineRule="auto"/>
              <w:rPr>
                <w:lang w:eastAsia="pl-PL"/>
              </w:rPr>
            </w:pPr>
            <w:r w:rsidRPr="0075382B">
              <w:rPr>
                <w:lang w:eastAsia="pl-PL"/>
              </w:rPr>
              <w:t xml:space="preserve">9 PLN/zestaw bez pendrive   </w:t>
            </w:r>
          </w:p>
          <w:p w14:paraId="33B7888C" w14:textId="641B0498" w:rsidR="003A4136" w:rsidRPr="0072540A" w:rsidRDefault="0075382B" w:rsidP="0075382B">
            <w:pPr>
              <w:spacing w:after="0" w:line="240" w:lineRule="auto"/>
              <w:rPr>
                <w:lang w:eastAsia="pl-PL"/>
              </w:rPr>
            </w:pPr>
            <w:r w:rsidRPr="0075382B">
              <w:rPr>
                <w:lang w:eastAsia="pl-PL"/>
              </w:rPr>
              <w:t>lub 24 zł/zestaw z pendrivem</w:t>
            </w:r>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lastRenderedPageBreak/>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77777777" w:rsidR="00237501" w:rsidRDefault="0058797C" w:rsidP="0058797C">
            <w:pPr>
              <w:spacing w:after="0" w:line="240" w:lineRule="auto"/>
              <w:jc w:val="center"/>
              <w:rPr>
                <w:lang w:eastAsia="pl-PL"/>
              </w:rPr>
            </w:pPr>
            <w:r>
              <w:rPr>
                <w:lang w:eastAsia="pl-PL"/>
              </w:rPr>
              <w:t>2 300 zł</w:t>
            </w:r>
          </w:p>
          <w:p w14:paraId="78D20AE2" w14:textId="6E58AC88"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77777777" w:rsidR="00237501" w:rsidRDefault="0058797C" w:rsidP="0058797C">
            <w:pPr>
              <w:spacing w:after="0" w:line="240" w:lineRule="auto"/>
              <w:jc w:val="center"/>
              <w:rPr>
                <w:lang w:eastAsia="pl-PL"/>
              </w:rPr>
            </w:pPr>
            <w:r>
              <w:rPr>
                <w:lang w:eastAsia="pl-PL"/>
              </w:rPr>
              <w:t>2500 zł</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 xml:space="preserve">wydatek kwalifikowalny, o ile nabycie komputera stacjonarnego jest niezbędne w celu wspomagania </w:t>
            </w:r>
            <w:r w:rsidRPr="00237501">
              <w:rPr>
                <w:rFonts w:cs="Arial"/>
                <w:color w:val="000000"/>
                <w:lang w:eastAsia="pl-PL"/>
              </w:rPr>
              <w:lastRenderedPageBreak/>
              <w:t>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77777777" w:rsidR="00237501" w:rsidRDefault="0058797C" w:rsidP="0058797C">
            <w:pPr>
              <w:spacing w:after="0" w:line="240" w:lineRule="auto"/>
              <w:jc w:val="center"/>
              <w:rPr>
                <w:lang w:eastAsia="pl-PL"/>
              </w:rPr>
            </w:pPr>
            <w:r>
              <w:rPr>
                <w:lang w:eastAsia="pl-PL"/>
              </w:rPr>
              <w:lastRenderedPageBreak/>
              <w:t>2900 zł</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lastRenderedPageBreak/>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(np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5BA4E2C1" w:rsidR="00237501" w:rsidRPr="0072540A" w:rsidRDefault="001E5DA7" w:rsidP="00237501">
            <w:pPr>
              <w:spacing w:after="0" w:line="240" w:lineRule="auto"/>
              <w:rPr>
                <w:lang w:eastAsia="pl-PL"/>
              </w:rPr>
            </w:pPr>
            <w:r w:rsidRPr="001E5DA7">
              <w:rPr>
                <w:lang w:eastAsia="pl-PL"/>
              </w:rPr>
              <w:t xml:space="preserve">Osobom  uczestniczącym  w  szkoleniach (bezrobotnym, biernym zawodowo oraz ubogim pracującym) przysługuje  stypendium szkoleniowe,  które miesięcznie wynosi brutto 120%  zasiłku  o  którym mowa  w  art.  72 ust.  1  pkt  1  ustawy o  promocji  </w:t>
            </w:r>
            <w:r w:rsidRPr="001E5DA7">
              <w:rPr>
                <w:lang w:eastAsia="pl-PL"/>
              </w:rPr>
              <w:lastRenderedPageBreak/>
              <w:t>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lastRenderedPageBreak/>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77777777" w:rsidR="0078045A" w:rsidRPr="0078045A" w:rsidRDefault="0078045A" w:rsidP="0078045A">
            <w:pPr>
              <w:numPr>
                <w:ilvl w:val="0"/>
                <w:numId w:val="10"/>
              </w:numPr>
              <w:suppressAutoHyphens w:val="0"/>
              <w:spacing w:after="0" w:line="240" w:lineRule="auto"/>
              <w:ind w:left="355" w:hanging="357"/>
            </w:pPr>
            <w:r w:rsidRPr="0078045A">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77777777" w:rsidR="0078045A" w:rsidRPr="0078045A" w:rsidRDefault="0078045A" w:rsidP="0078045A">
            <w:pPr>
              <w:numPr>
                <w:ilvl w:val="0"/>
                <w:numId w:val="10"/>
              </w:numPr>
              <w:suppressAutoHyphens w:val="0"/>
              <w:spacing w:after="0" w:line="240" w:lineRule="auto"/>
              <w:ind w:left="355" w:hanging="357"/>
            </w:pPr>
            <w:r w:rsidRPr="0078045A">
              <w:lastRenderedPageBreak/>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8045A">
              <w:rPr>
                <w:vertAlign w:val="superscript"/>
              </w:rPr>
              <w:footnoteReference w:customMarkFollows="1" w:id="7"/>
              <w:t>*</w:t>
            </w:r>
            <w:r w:rsidRPr="0078045A">
              <w:t xml:space="preserve"> za opiekę nad pierwszym stażystą i nie więcej niż 250 zł brutto miesięcznie</w:t>
            </w:r>
            <w:r w:rsidRPr="0078045A">
              <w:rPr>
                <w:vertAlign w:val="superscript"/>
              </w:rPr>
              <w:t>*</w:t>
            </w:r>
            <w:r w:rsidRPr="0078045A">
              <w:t xml:space="preserve"> za każdego kolejnego stażystę, przy czym opiekun może otrzymać refundację za opiekę nad maksymalnie 3 stażystami.</w:t>
            </w:r>
          </w:p>
          <w:p w14:paraId="5F1468A7" w14:textId="784A92B8" w:rsidR="0078045A" w:rsidRDefault="0078045A" w:rsidP="0078045A">
            <w:pPr>
              <w:numPr>
                <w:ilvl w:val="0"/>
                <w:numId w:val="10"/>
              </w:numPr>
              <w:suppressAutoHyphens w:val="0"/>
              <w:spacing w:after="0" w:line="240" w:lineRule="auto"/>
              <w:ind w:left="355" w:hanging="357"/>
            </w:pPr>
            <w:r w:rsidRPr="0078045A">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Pr="0078045A">
              <w:t xml:space="preserve"> za opiekę nad pierwszym stażystą i nie więcej niż 250 zł brutto miesięcznie</w:t>
            </w:r>
            <w:r w:rsidR="00CF2685">
              <w:rPr>
                <w:vertAlign w:val="superscript"/>
              </w:rPr>
              <w:t>*</w:t>
            </w:r>
            <w:r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11C4BED9" w14:textId="77777777" w:rsidTr="00C366CE">
        <w:trPr>
          <w:trHeight w:val="1298"/>
        </w:trPr>
        <w:tc>
          <w:tcPr>
            <w:tcW w:w="634" w:type="dxa"/>
            <w:tcBorders>
              <w:top w:val="single" w:sz="4" w:space="0" w:color="000000"/>
              <w:left w:val="single" w:sz="4" w:space="0" w:color="000000"/>
              <w:bottom w:val="single" w:sz="4" w:space="0" w:color="000000"/>
            </w:tcBorders>
          </w:tcPr>
          <w:p w14:paraId="60932E3C" w14:textId="636FEFBC" w:rsidR="00237501" w:rsidRDefault="00CF558A" w:rsidP="00237501">
            <w:pPr>
              <w:jc w:val="right"/>
            </w:pPr>
            <w:r>
              <w:lastRenderedPageBreak/>
              <w:t>18</w:t>
            </w:r>
          </w:p>
        </w:tc>
        <w:tc>
          <w:tcPr>
            <w:tcW w:w="1882" w:type="dxa"/>
            <w:tcBorders>
              <w:top w:val="single" w:sz="4" w:space="0" w:color="000000"/>
              <w:left w:val="single" w:sz="4" w:space="0" w:color="000000"/>
              <w:bottom w:val="single" w:sz="4" w:space="0" w:color="000000"/>
            </w:tcBorders>
          </w:tcPr>
          <w:p w14:paraId="0961961B" w14:textId="124C1108" w:rsidR="00237501" w:rsidRPr="0072540A" w:rsidRDefault="005C289E" w:rsidP="00237501">
            <w:pPr>
              <w:spacing w:after="0" w:line="240" w:lineRule="auto"/>
            </w:pPr>
            <w:r>
              <w:t>Opieka nad dzieckiem, osobą zależną</w:t>
            </w:r>
          </w:p>
        </w:tc>
        <w:tc>
          <w:tcPr>
            <w:tcW w:w="3968" w:type="dxa"/>
            <w:tcBorders>
              <w:top w:val="single" w:sz="4" w:space="0" w:color="000000"/>
              <w:left w:val="single" w:sz="4" w:space="0" w:color="000000"/>
              <w:bottom w:val="single" w:sz="4" w:space="0" w:color="000000"/>
            </w:tcBorders>
          </w:tcPr>
          <w:p w14:paraId="7FC84945" w14:textId="3F0CFA99" w:rsidR="00237501" w:rsidRPr="0072540A" w:rsidRDefault="0016760A" w:rsidP="00247E89">
            <w:pPr>
              <w:numPr>
                <w:ilvl w:val="0"/>
                <w:numId w:val="10"/>
              </w:numPr>
              <w:suppressAutoHyphens w:val="0"/>
              <w:spacing w:after="0" w:line="240" w:lineRule="auto"/>
              <w:ind w:left="355" w:hanging="357"/>
            </w:pPr>
            <w:r>
              <w:t xml:space="preserve">Wydatek kwalifikowalny </w:t>
            </w:r>
            <w:r w:rsidR="00350291">
              <w:t>w okresie odbywania staż</w:t>
            </w:r>
            <w:r w:rsidR="00247E89">
              <w:t>u</w:t>
            </w:r>
            <w:r w:rsidR="00350291">
              <w:t>, szkolenia.</w:t>
            </w:r>
          </w:p>
        </w:tc>
        <w:tc>
          <w:tcPr>
            <w:tcW w:w="2848" w:type="dxa"/>
            <w:gridSpan w:val="2"/>
            <w:tcBorders>
              <w:top w:val="single" w:sz="4" w:space="0" w:color="000000"/>
              <w:left w:val="single" w:sz="4" w:space="0" w:color="000000"/>
              <w:bottom w:val="single" w:sz="4" w:space="0" w:color="000000"/>
              <w:right w:val="single" w:sz="4" w:space="0" w:color="000000"/>
            </w:tcBorders>
          </w:tcPr>
          <w:p w14:paraId="41AFD680" w14:textId="03D41879" w:rsidR="00237501" w:rsidRPr="0072540A" w:rsidRDefault="00BC6BD8" w:rsidP="00237501">
            <w:pPr>
              <w:spacing w:after="0" w:line="240" w:lineRule="auto"/>
              <w:rPr>
                <w:lang w:eastAsia="pl-PL"/>
              </w:rPr>
            </w:pPr>
            <w:r>
              <w:rPr>
                <w:lang w:eastAsia="pl-PL"/>
              </w:rPr>
              <w:t>15 zł / godzina</w:t>
            </w: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1BDF07ED" w:rsidR="00237501" w:rsidRDefault="00CF558A" w:rsidP="00237501">
            <w:pPr>
              <w:jc w:val="right"/>
            </w:pPr>
            <w:r>
              <w:t>19</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EA6AD84" w:rsidR="00F247ED" w:rsidRPr="003F37DD" w:rsidRDefault="00CF558A" w:rsidP="00237501">
            <w:pPr>
              <w:jc w:val="right"/>
            </w:pPr>
            <w:r w:rsidRPr="003F37DD">
              <w:t>20</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9FCF3F9" w14:textId="6F007282" w:rsidR="00F247ED" w:rsidRPr="003F37DD" w:rsidRDefault="00E9254D" w:rsidP="00F247ED">
            <w:pPr>
              <w:numPr>
                <w:ilvl w:val="0"/>
                <w:numId w:val="10"/>
              </w:numPr>
              <w:suppressAutoHyphens w:val="0"/>
              <w:spacing w:after="0" w:line="240" w:lineRule="auto"/>
              <w:ind w:left="355" w:hanging="357"/>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w:t>
            </w:r>
            <w:r w:rsidR="00F247ED" w:rsidRPr="003F37DD">
              <w:lastRenderedPageBreak/>
              <w:t>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w:t>
            </w:r>
          </w:p>
          <w:p w14:paraId="6B35BC08" w14:textId="429568EC" w:rsidR="00F247ED" w:rsidRPr="003F37DD" w:rsidRDefault="00E9254D" w:rsidP="00F247ED">
            <w:pPr>
              <w:numPr>
                <w:ilvl w:val="0"/>
                <w:numId w:val="10"/>
              </w:numPr>
              <w:suppressAutoHyphens w:val="0"/>
              <w:spacing w:after="0" w:line="240" w:lineRule="auto"/>
              <w:ind w:left="355" w:hanging="357"/>
            </w:pPr>
            <w:r w:rsidRPr="003F37DD">
              <w:t>K</w:t>
            </w:r>
            <w:r w:rsidR="00F247ED" w:rsidRPr="003F37DD">
              <w:t>oszty eksploatacji  materiałów  i  narzędzi,  szkolenia  BHP stażysty, itp.</w:t>
            </w:r>
          </w:p>
          <w:p w14:paraId="5DE9265C" w14:textId="663ADF93" w:rsidR="00F247ED" w:rsidRPr="003F37DD" w:rsidRDefault="00F247ED" w:rsidP="00F247ED">
            <w:pPr>
              <w:numPr>
                <w:ilvl w:val="0"/>
                <w:numId w:val="10"/>
              </w:numPr>
              <w:suppressAutoHyphens w:val="0"/>
              <w:spacing w:after="0" w:line="240" w:lineRule="auto"/>
              <w:ind w:left="355" w:hanging="357"/>
            </w:pPr>
            <w:r w:rsidRPr="003F37DD">
              <w:t>W przypadku pracodawców będących podatnikami VAT koszty zakupu towarów i usług są kwalifikowalne w kwotach netto.</w:t>
            </w: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55B05171" w:rsidR="00F247ED" w:rsidRPr="003F37DD" w:rsidRDefault="00F247ED" w:rsidP="00237501">
            <w:pPr>
              <w:spacing w:after="0" w:line="240" w:lineRule="auto"/>
              <w:rPr>
                <w:lang w:eastAsia="pl-PL"/>
              </w:rPr>
            </w:pPr>
            <w:r w:rsidRPr="003F37DD">
              <w:rPr>
                <w:lang w:eastAsia="pl-PL"/>
              </w:rPr>
              <w:lastRenderedPageBreak/>
              <w:t xml:space="preserve">W  wysokości nieprzekraczającej 5 000 zł brutto na 1 stażystę (ostateczne rozliczenie kosztu dokonane zostanie na </w:t>
            </w:r>
            <w:r w:rsidRPr="003F37DD">
              <w:rPr>
                <w:lang w:eastAsia="pl-PL"/>
              </w:rPr>
              <w:lastRenderedPageBreak/>
              <w:t>podstawie faktycznie poniesionych i udokumentowanych wydatków)</w:t>
            </w:r>
          </w:p>
        </w:tc>
      </w:tr>
    </w:tbl>
    <w:p w14:paraId="65AD8E13" w14:textId="77777777" w:rsidR="007C4C47" w:rsidRPr="009F1E50" w:rsidRDefault="007C4C47" w:rsidP="00736D2C">
      <w:pPr>
        <w:pStyle w:val="Nag2"/>
      </w:pPr>
      <w:bookmarkStart w:id="21" w:name="_Toc525197126"/>
      <w:r>
        <w:lastRenderedPageBreak/>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650,00 zł</w:t>
            </w:r>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w:t>
            </w:r>
            <w:r w:rsidRPr="003B38C5">
              <w:rPr>
                <w:lang w:eastAsia="pl-PL"/>
              </w:rPr>
              <w:lastRenderedPageBreak/>
              <w:t xml:space="preserve">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lastRenderedPageBreak/>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w:t>
            </w:r>
            <w:r w:rsidRPr="003B38C5">
              <w:rPr>
                <w:lang w:eastAsia="pl-PL"/>
              </w:rPr>
              <w:lastRenderedPageBreak/>
              <w:t xml:space="preserve">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lastRenderedPageBreak/>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7422189F" w:rsidR="00DD3F5B" w:rsidRPr="003D3B42" w:rsidRDefault="00CE7424" w:rsidP="003D3B42">
            <w:pPr>
              <w:rPr>
                <w:rFonts w:cs="Arial"/>
                <w:b/>
              </w:rPr>
            </w:pPr>
            <w:r w:rsidRPr="00477AB7">
              <w:rPr>
                <w:rFonts w:cs="Arial"/>
              </w:rPr>
              <w:t xml:space="preserve"> </w:t>
            </w: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0F0126EE" w:rsidR="00B35651" w:rsidRPr="003B38C5" w:rsidRDefault="00CE7424" w:rsidP="00B35651">
            <w:pPr>
              <w:spacing w:line="240" w:lineRule="auto"/>
              <w:rPr>
                <w:spacing w:val="-6"/>
              </w:rPr>
            </w:pPr>
            <w:r w:rsidRPr="0092437E">
              <w:rPr>
                <w:rFonts w:cs="Arial"/>
              </w:rPr>
              <w:t>średnio 2 000 zł</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6FDF28B6" w:rsidR="00CE7424" w:rsidRPr="0092437E" w:rsidRDefault="00CE7424" w:rsidP="00B35651">
            <w:pPr>
              <w:spacing w:line="240" w:lineRule="auto"/>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725D" w14:textId="77777777" w:rsidR="00266532" w:rsidRDefault="00266532">
      <w:pPr>
        <w:spacing w:after="0" w:line="240" w:lineRule="auto"/>
      </w:pPr>
      <w:r>
        <w:separator/>
      </w:r>
    </w:p>
  </w:endnote>
  <w:endnote w:type="continuationSeparator" w:id="0">
    <w:p w14:paraId="2D92B015" w14:textId="77777777" w:rsidR="00266532" w:rsidRDefault="0026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8C6F" w14:textId="3D9FADE5" w:rsidR="004A79E3" w:rsidRDefault="004A79E3">
    <w:pPr>
      <w:pStyle w:val="Stopka"/>
      <w:jc w:val="center"/>
    </w:pPr>
    <w:r>
      <w:fldChar w:fldCharType="begin"/>
    </w:r>
    <w:r>
      <w:instrText xml:space="preserve"> PAGE </w:instrText>
    </w:r>
    <w:r>
      <w:fldChar w:fldCharType="separate"/>
    </w:r>
    <w:r w:rsidR="00CF23A1">
      <w:rPr>
        <w:noProof/>
      </w:rPr>
      <w:t>21</w:t>
    </w:r>
    <w:r>
      <w:rPr>
        <w:noProof/>
      </w:rPr>
      <w:fldChar w:fldCharType="end"/>
    </w:r>
  </w:p>
  <w:p w14:paraId="420B6A12" w14:textId="77777777" w:rsidR="004A79E3" w:rsidRDefault="004A7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F334" w14:textId="77777777" w:rsidR="00266532" w:rsidRDefault="00266532">
      <w:pPr>
        <w:spacing w:after="0" w:line="240" w:lineRule="auto"/>
      </w:pPr>
      <w:r>
        <w:separator/>
      </w:r>
    </w:p>
  </w:footnote>
  <w:footnote w:type="continuationSeparator" w:id="0">
    <w:p w14:paraId="23FEF55F" w14:textId="77777777" w:rsidR="00266532" w:rsidRDefault="00266532">
      <w:pPr>
        <w:spacing w:after="0" w:line="240" w:lineRule="auto"/>
      </w:pPr>
      <w:r>
        <w:continuationSeparator/>
      </w:r>
    </w:p>
  </w:footnote>
  <w:footnote w:id="1">
    <w:p w14:paraId="183D0268" w14:textId="3FD26189" w:rsidR="004A79E3" w:rsidRDefault="004A79E3" w:rsidP="00AA091A">
      <w:pPr>
        <w:pStyle w:val="Tekstprzypisudolnego"/>
      </w:pPr>
      <w:r>
        <w:rPr>
          <w:rStyle w:val="Odwoanieprzypisudolnego"/>
        </w:rPr>
        <w:footnoteRef/>
      </w:r>
      <w:r>
        <w:t xml:space="preserve"> </w:t>
      </w:r>
      <w:r w:rsidRPr="006268DB">
        <w:t>Kwalifikacje –</w:t>
      </w:r>
      <w:r>
        <w:t xml:space="preserve"> </w:t>
      </w:r>
      <w:r w:rsidRPr="00CA149B">
        <w:t>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4A79E3" w:rsidRDefault="004A79E3"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4A79E3" w:rsidRDefault="004A79E3"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4A79E3" w:rsidRDefault="004A79E3"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4A79E3" w:rsidRDefault="004A79E3">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4A79E3" w:rsidRPr="00BC1884" w:rsidRDefault="004A79E3"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4A79E3" w:rsidRDefault="004A79E3" w:rsidP="00305F66">
      <w:pPr>
        <w:spacing w:after="0" w:line="240" w:lineRule="auto"/>
        <w:jc w:val="both"/>
      </w:pPr>
    </w:p>
  </w:footnote>
  <w:footnote w:id="7">
    <w:p w14:paraId="4E4069E0" w14:textId="77777777" w:rsidR="004A79E3" w:rsidRDefault="004A79E3"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4A79E3" w:rsidRDefault="004A79E3"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E095" w14:textId="46A2CE7C" w:rsidR="004A79E3" w:rsidRDefault="004A79E3"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w:t>
    </w:r>
    <w:r w:rsidR="0091119A">
      <w:rPr>
        <w:b/>
        <w:bCs/>
      </w:rPr>
      <w:t xml:space="preserve"> – Wymagania dotyczące standardu oraz cen rynkowych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8F8"/>
    <w:rsid w:val="00045517"/>
    <w:rsid w:val="0005083F"/>
    <w:rsid w:val="000545FC"/>
    <w:rsid w:val="00057956"/>
    <w:rsid w:val="00057E9C"/>
    <w:rsid w:val="00062DF6"/>
    <w:rsid w:val="00064A32"/>
    <w:rsid w:val="00066855"/>
    <w:rsid w:val="00067C71"/>
    <w:rsid w:val="000716AA"/>
    <w:rsid w:val="00071AFA"/>
    <w:rsid w:val="000732D4"/>
    <w:rsid w:val="00073B12"/>
    <w:rsid w:val="00077509"/>
    <w:rsid w:val="000806E6"/>
    <w:rsid w:val="00081BBC"/>
    <w:rsid w:val="0008262F"/>
    <w:rsid w:val="00082D8B"/>
    <w:rsid w:val="000854DD"/>
    <w:rsid w:val="00085574"/>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2342"/>
    <w:rsid w:val="0012292D"/>
    <w:rsid w:val="00125AD7"/>
    <w:rsid w:val="0012636F"/>
    <w:rsid w:val="001269A3"/>
    <w:rsid w:val="001278AE"/>
    <w:rsid w:val="0013394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36FF"/>
    <w:rsid w:val="00233A2C"/>
    <w:rsid w:val="00237501"/>
    <w:rsid w:val="00240157"/>
    <w:rsid w:val="002403F9"/>
    <w:rsid w:val="00247E89"/>
    <w:rsid w:val="00254617"/>
    <w:rsid w:val="002564D5"/>
    <w:rsid w:val="002574F0"/>
    <w:rsid w:val="00261960"/>
    <w:rsid w:val="002660BF"/>
    <w:rsid w:val="00266532"/>
    <w:rsid w:val="002665F6"/>
    <w:rsid w:val="00267081"/>
    <w:rsid w:val="00271FE8"/>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362C"/>
    <w:rsid w:val="003F37DD"/>
    <w:rsid w:val="003F6A8A"/>
    <w:rsid w:val="004019C5"/>
    <w:rsid w:val="0040397D"/>
    <w:rsid w:val="004078E5"/>
    <w:rsid w:val="00421CF6"/>
    <w:rsid w:val="00422DED"/>
    <w:rsid w:val="0042308B"/>
    <w:rsid w:val="00423E31"/>
    <w:rsid w:val="00423F0C"/>
    <w:rsid w:val="00424347"/>
    <w:rsid w:val="00425769"/>
    <w:rsid w:val="00427105"/>
    <w:rsid w:val="00427276"/>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BDD"/>
    <w:rsid w:val="00454F03"/>
    <w:rsid w:val="00455BDE"/>
    <w:rsid w:val="00460A34"/>
    <w:rsid w:val="004659B4"/>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F2CDF"/>
    <w:rsid w:val="004F41F5"/>
    <w:rsid w:val="004F4518"/>
    <w:rsid w:val="004F5C81"/>
    <w:rsid w:val="004F6464"/>
    <w:rsid w:val="004F75DD"/>
    <w:rsid w:val="004F7C13"/>
    <w:rsid w:val="005121E5"/>
    <w:rsid w:val="005128F6"/>
    <w:rsid w:val="00513658"/>
    <w:rsid w:val="0051369A"/>
    <w:rsid w:val="0051376E"/>
    <w:rsid w:val="00514100"/>
    <w:rsid w:val="005177BF"/>
    <w:rsid w:val="00520878"/>
    <w:rsid w:val="00520EA7"/>
    <w:rsid w:val="00527AAA"/>
    <w:rsid w:val="00527F6F"/>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E04"/>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D4C"/>
    <w:rsid w:val="005A38E9"/>
    <w:rsid w:val="005A4CF1"/>
    <w:rsid w:val="005A7407"/>
    <w:rsid w:val="005B0E73"/>
    <w:rsid w:val="005B1FAB"/>
    <w:rsid w:val="005B560A"/>
    <w:rsid w:val="005C289E"/>
    <w:rsid w:val="005C390E"/>
    <w:rsid w:val="005C3B31"/>
    <w:rsid w:val="005C41FF"/>
    <w:rsid w:val="005C57A9"/>
    <w:rsid w:val="005C7198"/>
    <w:rsid w:val="005C7C95"/>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80C"/>
    <w:rsid w:val="006371C7"/>
    <w:rsid w:val="00637EEA"/>
    <w:rsid w:val="00640EA3"/>
    <w:rsid w:val="006418B7"/>
    <w:rsid w:val="0064274B"/>
    <w:rsid w:val="00644EAB"/>
    <w:rsid w:val="00650B4A"/>
    <w:rsid w:val="006514EB"/>
    <w:rsid w:val="00651793"/>
    <w:rsid w:val="00652DF9"/>
    <w:rsid w:val="00654D64"/>
    <w:rsid w:val="00655272"/>
    <w:rsid w:val="0065575D"/>
    <w:rsid w:val="0066030F"/>
    <w:rsid w:val="00661F45"/>
    <w:rsid w:val="00661FF8"/>
    <w:rsid w:val="006637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036ED"/>
    <w:rsid w:val="008064E5"/>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3B4F"/>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2EE9"/>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7671"/>
    <w:rsid w:val="00AF76E1"/>
    <w:rsid w:val="00B02063"/>
    <w:rsid w:val="00B035D3"/>
    <w:rsid w:val="00B03F4D"/>
    <w:rsid w:val="00B06293"/>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1352"/>
    <w:rsid w:val="00B53D70"/>
    <w:rsid w:val="00B5670E"/>
    <w:rsid w:val="00B6097F"/>
    <w:rsid w:val="00B63779"/>
    <w:rsid w:val="00B648EF"/>
    <w:rsid w:val="00B6589E"/>
    <w:rsid w:val="00B66679"/>
    <w:rsid w:val="00B66D35"/>
    <w:rsid w:val="00B67E98"/>
    <w:rsid w:val="00B710E1"/>
    <w:rsid w:val="00B716E1"/>
    <w:rsid w:val="00B721DE"/>
    <w:rsid w:val="00B7242F"/>
    <w:rsid w:val="00B73045"/>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149B"/>
    <w:rsid w:val="00CA180C"/>
    <w:rsid w:val="00CB0C99"/>
    <w:rsid w:val="00CB2493"/>
    <w:rsid w:val="00CB5CFF"/>
    <w:rsid w:val="00CB5FC7"/>
    <w:rsid w:val="00CB69BC"/>
    <w:rsid w:val="00CC29B7"/>
    <w:rsid w:val="00CC2C82"/>
    <w:rsid w:val="00CC5198"/>
    <w:rsid w:val="00CC6113"/>
    <w:rsid w:val="00CC7E75"/>
    <w:rsid w:val="00CD2CA7"/>
    <w:rsid w:val="00CD7DF0"/>
    <w:rsid w:val="00CE1A86"/>
    <w:rsid w:val="00CE2543"/>
    <w:rsid w:val="00CE3B5B"/>
    <w:rsid w:val="00CE4AB9"/>
    <w:rsid w:val="00CE5F4C"/>
    <w:rsid w:val="00CE7424"/>
    <w:rsid w:val="00CF1B8E"/>
    <w:rsid w:val="00CF1F3B"/>
    <w:rsid w:val="00CF23A1"/>
    <w:rsid w:val="00CF2685"/>
    <w:rsid w:val="00CF3D11"/>
    <w:rsid w:val="00CF558A"/>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35C1"/>
    <w:rsid w:val="00D55056"/>
    <w:rsid w:val="00D55167"/>
    <w:rsid w:val="00D5659D"/>
    <w:rsid w:val="00D5688B"/>
    <w:rsid w:val="00D57000"/>
    <w:rsid w:val="00D60752"/>
    <w:rsid w:val="00D60E88"/>
    <w:rsid w:val="00D61603"/>
    <w:rsid w:val="00D62865"/>
    <w:rsid w:val="00D635C1"/>
    <w:rsid w:val="00D652ED"/>
    <w:rsid w:val="00D66050"/>
    <w:rsid w:val="00D66920"/>
    <w:rsid w:val="00D72932"/>
    <w:rsid w:val="00D73E75"/>
    <w:rsid w:val="00D825C0"/>
    <w:rsid w:val="00D826CF"/>
    <w:rsid w:val="00D82E37"/>
    <w:rsid w:val="00D8757B"/>
    <w:rsid w:val="00D9078D"/>
    <w:rsid w:val="00D90DA6"/>
    <w:rsid w:val="00D91B09"/>
    <w:rsid w:val="00D97008"/>
    <w:rsid w:val="00D97DC6"/>
    <w:rsid w:val="00DA08B4"/>
    <w:rsid w:val="00DA6ADB"/>
    <w:rsid w:val="00DA6D28"/>
    <w:rsid w:val="00DB1958"/>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puslugi.mf.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68A4-0F42-482F-A570-05F8AA79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31</Pages>
  <Words>8259</Words>
  <Characters>56045</Characters>
  <Application>Microsoft Office Word</Application>
  <DocSecurity>0</DocSecurity>
  <Lines>467</Lines>
  <Paragraphs>128</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Aneta Zych</cp:lastModifiedBy>
  <cp:revision>216</cp:revision>
  <cp:lastPrinted>2018-09-19T09:48:00Z</cp:lastPrinted>
  <dcterms:created xsi:type="dcterms:W3CDTF">2018-09-10T09:59:00Z</dcterms:created>
  <dcterms:modified xsi:type="dcterms:W3CDTF">2018-09-20T06:56:00Z</dcterms:modified>
</cp:coreProperties>
</file>