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0CB" w:rsidRPr="00FD646A" w:rsidRDefault="00E85F84" w:rsidP="0066717C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left"/>
        <w:rPr>
          <w:rFonts w:asciiTheme="minorHAnsi" w:hAnsiTheme="minorHAnsi" w:cs="Arial"/>
          <w:b w:val="0"/>
          <w:u w:val="single"/>
          <w:lang w:eastAsia="pl-PL"/>
        </w:rPr>
      </w:pPr>
      <w:r w:rsidRPr="00FD646A">
        <w:rPr>
          <w:rFonts w:asciiTheme="minorHAnsi" w:hAnsiTheme="minorHAnsi" w:cs="Arial"/>
          <w:b w:val="0"/>
          <w:u w:val="single"/>
          <w:lang w:eastAsia="pl-PL"/>
        </w:rPr>
        <w:t xml:space="preserve">Załącznik </w:t>
      </w:r>
      <w:r w:rsidR="00DE16CA" w:rsidRPr="00FD646A">
        <w:rPr>
          <w:rFonts w:asciiTheme="minorHAnsi" w:hAnsiTheme="minorHAnsi" w:cs="Arial"/>
          <w:b w:val="0"/>
          <w:u w:val="single"/>
          <w:lang w:eastAsia="pl-PL"/>
        </w:rPr>
        <w:t xml:space="preserve">nr </w:t>
      </w:r>
      <w:r w:rsidR="00037CFE">
        <w:rPr>
          <w:rFonts w:asciiTheme="minorHAnsi" w:hAnsiTheme="minorHAnsi" w:cs="Arial"/>
          <w:b w:val="0"/>
          <w:u w:val="single"/>
          <w:lang w:eastAsia="pl-PL"/>
        </w:rPr>
        <w:t>8</w:t>
      </w:r>
      <w:bookmarkStart w:id="0" w:name="_GoBack"/>
      <w:bookmarkEnd w:id="0"/>
      <w:r w:rsidRPr="00FD646A">
        <w:rPr>
          <w:rFonts w:asciiTheme="minorHAnsi" w:hAnsiTheme="minorHAnsi" w:cs="Arial"/>
          <w:b w:val="0"/>
          <w:u w:val="single"/>
          <w:lang w:eastAsia="pl-PL"/>
        </w:rPr>
        <w:t xml:space="preserve"> do Regulaminu konkursu</w:t>
      </w:r>
      <w:r w:rsidR="00797A1C" w:rsidRPr="00FD646A">
        <w:rPr>
          <w:rFonts w:asciiTheme="minorHAnsi" w:hAnsiTheme="minorHAnsi" w:cs="Arial"/>
          <w:b w:val="0"/>
          <w:lang w:eastAsia="pl-PL"/>
        </w:rPr>
        <w:t xml:space="preserve"> – Wzór umowy o dofinansowanie projektu współfinansowanego ze środków EFS w ramach RPO WŁ 2014-2020</w:t>
      </w:r>
      <w:r w:rsidR="008C04B9" w:rsidRPr="00FD646A">
        <w:rPr>
          <w:rFonts w:asciiTheme="minorHAnsi" w:hAnsiTheme="minorHAnsi" w:cs="Arial"/>
          <w:b w:val="0"/>
          <w:u w:val="single"/>
          <w:lang w:eastAsia="pl-PL"/>
        </w:rPr>
        <w:t xml:space="preserve"> </w:t>
      </w:r>
    </w:p>
    <w:p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0010B2" w:rsidRPr="000010B2" w:rsidRDefault="000010B2" w:rsidP="000010B2">
      <w:pPr>
        <w:pStyle w:val="Podtytu"/>
      </w:pPr>
    </w:p>
    <w:p w:rsidR="000010B2" w:rsidRDefault="000B1F67" w:rsidP="000010B2">
      <w:pPr>
        <w:tabs>
          <w:tab w:val="left" w:pos="7635"/>
        </w:tabs>
        <w:ind w:left="4956" w:hanging="4956"/>
        <w:rPr>
          <w:rFonts w:ascii="Arial" w:hAnsi="Arial" w:cs="Arial"/>
          <w:b/>
          <w:sz w:val="24"/>
          <w:szCs w:val="24"/>
        </w:rPr>
      </w:pPr>
      <w:r w:rsidRPr="000B1F67">
        <w:rPr>
          <w:noProof/>
          <w:lang w:eastAsia="pl-PL"/>
        </w:rPr>
        <w:drawing>
          <wp:inline distT="0" distB="0" distL="0" distR="0">
            <wp:extent cx="5759450" cy="1091746"/>
            <wp:effectExtent l="19050" t="0" r="0" b="0"/>
            <wp:docPr id="2" name="Obraz 2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5B214F" w:rsidRPr="006462EE" w:rsidRDefault="000010B2" w:rsidP="000010B2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</w:p>
    <w:p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6462EE">
        <w:rPr>
          <w:rFonts w:ascii="Arial" w:hAnsi="Arial" w:cs="Arial"/>
          <w:sz w:val="20"/>
          <w:szCs w:val="20"/>
        </w:rPr>
        <w:t>ym</w:t>
      </w:r>
      <w:proofErr w:type="spellEnd"/>
      <w:r w:rsidR="005B214F" w:rsidRPr="006462EE">
        <w:rPr>
          <w:rFonts w:ascii="Arial" w:hAnsi="Arial" w:cs="Arial"/>
          <w:sz w:val="20"/>
          <w:szCs w:val="20"/>
        </w:rPr>
        <w:t xml:space="preserve">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:rsidR="00493E5C" w:rsidRPr="006462EE" w:rsidRDefault="00493E5C" w:rsidP="000B1F67">
      <w:pPr>
        <w:pStyle w:val="xl33"/>
        <w:spacing w:before="0" w:after="60"/>
        <w:jc w:val="left"/>
        <w:rPr>
          <w:rFonts w:ascii="Arial" w:hAnsi="Arial" w:cs="Arial"/>
        </w:rPr>
      </w:pPr>
    </w:p>
    <w:p w:rsidR="000010B2" w:rsidRPr="006462EE" w:rsidRDefault="000010B2" w:rsidP="000B1F67">
      <w:pPr>
        <w:pStyle w:val="xl33"/>
        <w:spacing w:before="0" w:after="60"/>
        <w:jc w:val="left"/>
        <w:rPr>
          <w:rFonts w:ascii="Arial" w:hAnsi="Arial" w:cs="Arial"/>
        </w:rPr>
      </w:pPr>
    </w:p>
    <w:p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 xml:space="preserve">, osoby współpracujące w rozumieniu  art. 13 pkt 5 ustawy z dnia 13 października 1998 r. o systemie ubezpieczeń społecznych (Dz. U. z 2015 r. poz. 121,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 xml:space="preserve">z 2016 r.  poz. 239,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w ramach </w:t>
      </w:r>
      <w:proofErr w:type="spellStart"/>
      <w:r w:rsidRPr="006462EE">
        <w:rPr>
          <w:rFonts w:ascii="Arial" w:hAnsi="Arial" w:cs="Arial"/>
          <w:sz w:val="20"/>
          <w:szCs w:val="20"/>
        </w:rPr>
        <w:t>cross-financingu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 xml:space="preserve">Wydatki ponoszone na zakup środków trwałych oraz </w:t>
      </w:r>
      <w:proofErr w:type="spellStart"/>
      <w:r w:rsidR="00177851" w:rsidRPr="006462EE">
        <w:rPr>
          <w:rFonts w:ascii="Arial" w:hAnsi="Arial" w:cs="Arial"/>
          <w:sz w:val="20"/>
          <w:szCs w:val="20"/>
        </w:rPr>
        <w:t>cross-financingu</w:t>
      </w:r>
      <w:proofErr w:type="spellEnd"/>
      <w:r w:rsidR="00177851" w:rsidRPr="006462E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 xml:space="preserve">, o których </w:t>
      </w:r>
      <w:r w:rsidR="00544EDF" w:rsidRPr="006462EE">
        <w:rPr>
          <w:rFonts w:ascii="Arial" w:hAnsi="Arial" w:cs="Arial"/>
          <w:sz w:val="20"/>
          <w:szCs w:val="20"/>
        </w:rPr>
        <w:lastRenderedPageBreak/>
        <w:t>mowa w §1 ust.</w:t>
      </w:r>
      <w:r w:rsidR="00241D63" w:rsidRPr="006462EE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241D63" w:rsidRPr="006462EE">
        <w:rPr>
          <w:rFonts w:ascii="Arial" w:hAnsi="Arial" w:cs="Arial"/>
          <w:sz w:val="20"/>
          <w:szCs w:val="20"/>
        </w:rPr>
        <w:t>pkt</w:t>
      </w:r>
      <w:proofErr w:type="spellEnd"/>
      <w:r w:rsidR="00241D63" w:rsidRPr="006462EE">
        <w:rPr>
          <w:rFonts w:ascii="Arial" w:hAnsi="Arial" w:cs="Arial"/>
          <w:sz w:val="20"/>
          <w:szCs w:val="20"/>
        </w:rPr>
        <w:t xml:space="preserve">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57F" w:rsidRPr="006462EE">
        <w:rPr>
          <w:rFonts w:ascii="Arial" w:hAnsi="Arial" w:cs="Arial"/>
          <w:sz w:val="20"/>
          <w:szCs w:val="20"/>
        </w:rPr>
        <w:t>ppkt</w:t>
      </w:r>
      <w:proofErr w:type="spellEnd"/>
      <w:r w:rsidR="00F0157F" w:rsidRPr="006462EE">
        <w:rPr>
          <w:rFonts w:ascii="Arial" w:hAnsi="Arial" w:cs="Arial"/>
          <w:sz w:val="20"/>
          <w:szCs w:val="20"/>
        </w:rPr>
        <w:t xml:space="preserve">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>załączane do wniosku o płatność ……………………………,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6462EE">
        <w:rPr>
          <w:rFonts w:ascii="Arial" w:hAnsi="Arial" w:cs="Arial"/>
          <w:sz w:val="20"/>
          <w:szCs w:val="20"/>
        </w:rPr>
        <w:t>ych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dotyczy wydatek,</w:t>
      </w:r>
    </w:p>
    <w:p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6462EE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6462EE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</w:t>
      </w:r>
      <w:r w:rsidR="00867509" w:rsidRPr="006462EE">
        <w:rPr>
          <w:rFonts w:ascii="Arial" w:hAnsi="Arial" w:cs="Arial"/>
          <w:sz w:val="20"/>
          <w:szCs w:val="20"/>
        </w:rPr>
        <w:lastRenderedPageBreak/>
        <w:t>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lastRenderedPageBreak/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10.</w:t>
      </w:r>
    </w:p>
    <w:p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Dochód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</w:t>
      </w:r>
      <w:r w:rsidR="007142BC" w:rsidRPr="006462EE">
        <w:rPr>
          <w:rFonts w:ascii="Arial" w:hAnsi="Arial" w:cs="Arial"/>
          <w:sz w:val="20"/>
          <w:szCs w:val="20"/>
        </w:rPr>
        <w:lastRenderedPageBreak/>
        <w:t xml:space="preserve">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</w:t>
      </w:r>
      <w:r w:rsidRPr="006462EE">
        <w:rPr>
          <w:rFonts w:ascii="Arial" w:hAnsi="Arial" w:cs="Arial"/>
          <w:sz w:val="20"/>
          <w:szCs w:val="20"/>
          <w:lang w:eastAsia="pl-PL"/>
        </w:rPr>
        <w:lastRenderedPageBreak/>
        <w:t xml:space="preserve">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</w:t>
      </w:r>
      <w:r w:rsidR="00021763" w:rsidRPr="006462EE">
        <w:rPr>
          <w:rFonts w:ascii="Arial" w:eastAsia="Calibri" w:hAnsi="Arial" w:cs="Arial"/>
          <w:sz w:val="20"/>
          <w:szCs w:val="20"/>
        </w:rPr>
        <w:lastRenderedPageBreak/>
        <w:t>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cross-financingu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lastRenderedPageBreak/>
        <w:t xml:space="preserve"> istotna zmiana wpływająca na charakter operacji, jej cele lub warunki wdrażania, która mogłaby doprowadzić do naruszenia jej pierwotnych celów.</w:t>
      </w:r>
    </w:p>
    <w:p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stanowią inaczej.</w:t>
      </w:r>
    </w:p>
    <w:p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Udzielanie zamówień w ramach Projektu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</w:p>
    <w:p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ustawy wdrożeniowej;</w:t>
      </w:r>
    </w:p>
    <w:p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>oraz zobowiązuje się 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 później niż trzy miesiące po zakończeniu Projektu umieszczenie na stałe tablicy pamiątkowej w miejscu łatwo widocznym dla ogółu społeczeństwa, dla każdego Projektu dotyczącego zakupu środków trwałych lub finansowania działań w zakresie infrastruktury </w:t>
      </w:r>
      <w:r w:rsidRPr="006462EE">
        <w:rPr>
          <w:rFonts w:ascii="Arial" w:hAnsi="Arial" w:cs="Arial"/>
          <w:sz w:val="20"/>
          <w:szCs w:val="20"/>
        </w:rPr>
        <w:lastRenderedPageBreak/>
        <w:t>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zwiększać łącznej wysokości wydatków dotyczących </w:t>
      </w:r>
      <w:proofErr w:type="spellStart"/>
      <w:r w:rsidRPr="006462EE">
        <w:rPr>
          <w:rFonts w:ascii="Arial" w:hAnsi="Arial" w:cs="Arial"/>
          <w:sz w:val="20"/>
          <w:szCs w:val="20"/>
        </w:rPr>
        <w:t>cross-financingu</w:t>
      </w:r>
      <w:proofErr w:type="spellEnd"/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6462EE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Rozwiązanie umowy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 xml:space="preserve">regułą proporcjonalności, o której mowa w Wytycznych w zakresie kwalifikowalności, pod warunkiem, że Beneficjent osiągnie co najmniej 50% założonych we Wniosku wskaźników </w:t>
      </w:r>
      <w:r w:rsidRPr="006462EE">
        <w:rPr>
          <w:rFonts w:ascii="Arial" w:hAnsi="Arial" w:cs="Arial"/>
          <w:sz w:val="20"/>
          <w:szCs w:val="20"/>
        </w:rPr>
        <w:lastRenderedPageBreak/>
        <w:t>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6462EE">
        <w:rPr>
          <w:rFonts w:ascii="Arial" w:hAnsi="Arial" w:cs="Arial"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6462E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§ 33.</w:t>
      </w:r>
    </w:p>
    <w:p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8818"/>
      </w:tblGrid>
      <w:tr w:rsidR="005B214F" w:rsidRPr="006462EE" w:rsidTr="00FE05E7">
        <w:tc>
          <w:tcPr>
            <w:tcW w:w="250" w:type="pct"/>
          </w:tcPr>
          <w:p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8786"/>
      </w:tblGrid>
      <w:tr w:rsidR="005B214F" w:rsidRPr="006462EE" w:rsidTr="00FE05E7">
        <w:trPr>
          <w:trHeight w:val="20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rPr>
          <w:trHeight w:val="20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:rsidTr="00FE05E7">
        <w:trPr>
          <w:trHeight w:val="144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:rsidTr="00FE05E7">
        <w:trPr>
          <w:trHeight w:val="57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E85F84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8788"/>
      </w:tblGrid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B214F" w:rsidRPr="006462EE" w:rsidRDefault="00E85F84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0"/>
        <w:gridCol w:w="8792"/>
      </w:tblGrid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</w:p>
    <w:p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462E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248"/>
        <w:gridCol w:w="4964"/>
      </w:tblGrid>
      <w:tr w:rsidR="005B214F" w:rsidRPr="006462EE">
        <w:tc>
          <w:tcPr>
            <w:tcW w:w="4248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>
        <w:tc>
          <w:tcPr>
            <w:tcW w:w="4248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B6" w:rsidRDefault="000B7DB6">
      <w:r>
        <w:separator/>
      </w:r>
    </w:p>
  </w:endnote>
  <w:endnote w:type="continuationSeparator" w:id="0">
    <w:p w:rsidR="000B7DB6" w:rsidRDefault="000B7DB6">
      <w:r>
        <w:continuationSeparator/>
      </w:r>
    </w:p>
  </w:endnote>
  <w:endnote w:type="continuationNotice" w:id="1">
    <w:p w:rsidR="000B7DB6" w:rsidRDefault="000B7D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7" w:rsidRDefault="004F60EA">
    <w:pPr>
      <w:pStyle w:val="Stopka"/>
      <w:jc w:val="right"/>
    </w:pPr>
    <w:r>
      <w:fldChar w:fldCharType="begin"/>
    </w:r>
    <w:r w:rsidR="002757B7">
      <w:instrText xml:space="preserve"> PAGE </w:instrText>
    </w:r>
    <w:r>
      <w:fldChar w:fldCharType="separate"/>
    </w:r>
    <w:r w:rsidR="000B1F67">
      <w:rPr>
        <w:noProof/>
      </w:rPr>
      <w:t>2</w:t>
    </w:r>
    <w:r>
      <w:rPr>
        <w:noProof/>
      </w:rPr>
      <w:fldChar w:fldCharType="end"/>
    </w:r>
  </w:p>
  <w:p w:rsidR="002757B7" w:rsidRDefault="002757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7" w:rsidRDefault="004F60EA">
    <w:pPr>
      <w:pStyle w:val="Stopka"/>
      <w:jc w:val="right"/>
    </w:pPr>
    <w:r>
      <w:fldChar w:fldCharType="begin"/>
    </w:r>
    <w:r w:rsidR="002757B7">
      <w:instrText xml:space="preserve"> PAGE </w:instrText>
    </w:r>
    <w:r>
      <w:fldChar w:fldCharType="separate"/>
    </w:r>
    <w:r w:rsidR="000B1F67">
      <w:rPr>
        <w:noProof/>
      </w:rPr>
      <w:t>43</w:t>
    </w:r>
    <w:r>
      <w:rPr>
        <w:noProof/>
      </w:rPr>
      <w:fldChar w:fldCharType="end"/>
    </w:r>
  </w:p>
  <w:p w:rsidR="002757B7" w:rsidRDefault="00275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B6" w:rsidRDefault="000B7DB6">
      <w:r>
        <w:separator/>
      </w:r>
    </w:p>
  </w:footnote>
  <w:footnote w:type="continuationSeparator" w:id="0">
    <w:p w:rsidR="000B7DB6" w:rsidRDefault="000B7DB6">
      <w:r>
        <w:continuationSeparator/>
      </w:r>
    </w:p>
  </w:footnote>
  <w:footnote w:type="continuationNotice" w:id="1">
    <w:p w:rsidR="000B7DB6" w:rsidRDefault="000B7DB6">
      <w:pPr>
        <w:spacing w:after="0" w:line="240" w:lineRule="auto"/>
      </w:pPr>
    </w:p>
  </w:footnote>
  <w:footnote w:id="2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>W przypadku realizowania Projektu z Partnerem/</w:t>
      </w:r>
      <w:proofErr w:type="spellStart"/>
      <w:r w:rsidRPr="007A5726">
        <w:rPr>
          <w:sz w:val="16"/>
          <w:szCs w:val="16"/>
        </w:rPr>
        <w:t>ami</w:t>
      </w:r>
      <w:proofErr w:type="spellEnd"/>
      <w:r w:rsidRPr="007A5726">
        <w:rPr>
          <w:sz w:val="16"/>
          <w:szCs w:val="16"/>
        </w:rPr>
        <w:t xml:space="preserve">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 xml:space="preserve">o zbioru, o którym mowa w § 1 pkt13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3">
    <w:p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64">
    <w:p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 xml:space="preserve">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5">
    <w:p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6">
    <w:p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7">
    <w:p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8">
    <w:p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72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7" w:rsidRDefault="002757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A6D87"/>
    <w:rsid w:val="000000EB"/>
    <w:rsid w:val="000010B2"/>
    <w:rsid w:val="00004E9F"/>
    <w:rsid w:val="00010529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37CFE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1F67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60EA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6717C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A1C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1C8E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0E59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18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16CA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2E2B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1D26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646A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4F60E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4F60E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sid w:val="004F60E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4F60E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4F60EA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sid w:val="004F60EA"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sid w:val="004F60EA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4F60EA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4F60EA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4F60EA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4F60EA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4F60EA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4F60EA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4F60EA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F60EA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4F60EA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4F60EA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4F60E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4F60EA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4F60EA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0E15-94F1-4082-840D-2CD494E5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14958</Words>
  <Characters>99050</Characters>
  <Application>Microsoft Office Word</Application>
  <DocSecurity>0</DocSecurity>
  <Lines>825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k.sakowska-walczak</cp:lastModifiedBy>
  <cp:revision>6</cp:revision>
  <cp:lastPrinted>2016-11-04T07:32:00Z</cp:lastPrinted>
  <dcterms:created xsi:type="dcterms:W3CDTF">2017-05-25T12:32:00Z</dcterms:created>
  <dcterms:modified xsi:type="dcterms:W3CDTF">2017-11-23T11:32:00Z</dcterms:modified>
</cp:coreProperties>
</file>