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034A1D98" w:rsidR="00E700CB" w:rsidRPr="00E85F84" w:rsidRDefault="00E85F84" w:rsidP="00E85F84">
      <w:pPr>
        <w:pStyle w:val="Podtytu"/>
        <w:tabs>
          <w:tab w:val="clear" w:pos="1080"/>
          <w:tab w:val="left" w:pos="7770"/>
        </w:tabs>
        <w:ind w:left="0" w:firstLine="0"/>
        <w:jc w:val="left"/>
        <w:rPr>
          <w:rFonts w:ascii="Arial" w:hAnsi="Arial" w:cs="Arial"/>
          <w:b w:val="0"/>
          <w:lang w:eastAsia="pl-PL"/>
        </w:rPr>
      </w:pPr>
      <w:r w:rsidRPr="00E85F84">
        <w:rPr>
          <w:rFonts w:ascii="Arial" w:hAnsi="Arial" w:cs="Arial"/>
          <w:b w:val="0"/>
          <w:lang w:eastAsia="pl-PL"/>
        </w:rPr>
        <w:t>Załącznik nr 10</w:t>
      </w:r>
      <w:r w:rsidR="005C6593">
        <w:rPr>
          <w:rFonts w:ascii="Arial" w:hAnsi="Arial" w:cs="Arial"/>
          <w:b w:val="0"/>
          <w:lang w:eastAsia="pl-PL"/>
        </w:rPr>
        <w:t xml:space="preserve"> do Regulaminu konkursu</w:t>
      </w:r>
      <w:r w:rsidR="0059522C">
        <w:rPr>
          <w:rFonts w:ascii="Arial" w:hAnsi="Arial" w:cs="Arial"/>
          <w:b w:val="0"/>
          <w:lang w:eastAsia="pl-PL"/>
        </w:rPr>
        <w:t xml:space="preserve"> RPLD.08.03.04-IP.01-10-001/17</w:t>
      </w:r>
      <w:bookmarkStart w:id="0" w:name="_GoBack"/>
      <w:bookmarkEnd w:id="0"/>
      <w:r w:rsidR="008C04B9" w:rsidRPr="00E85F84">
        <w:rPr>
          <w:rFonts w:ascii="Arial" w:hAnsi="Arial" w:cs="Arial"/>
          <w:b w:val="0"/>
          <w:lang w:eastAsia="pl-PL"/>
        </w:rPr>
        <w:tab/>
      </w:r>
      <w:r w:rsidR="008C04B9" w:rsidRPr="00E85F84">
        <w:rPr>
          <w:rFonts w:ascii="Arial" w:hAnsi="Arial" w:cs="Arial"/>
          <w:b w:val="0"/>
          <w:lang w:eastAsia="pl-PL"/>
        </w:rPr>
        <w:tab/>
        <w:t xml:space="preserve">                       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</w:t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lastRenderedPageBreak/>
        <w:t xml:space="preserve">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</w:t>
      </w:r>
      <w:r w:rsidR="005C6FBE" w:rsidRPr="006462EE">
        <w:rPr>
          <w:rFonts w:ascii="Arial" w:hAnsi="Arial" w:cs="Arial"/>
          <w:sz w:val="20"/>
          <w:szCs w:val="20"/>
        </w:rPr>
        <w:lastRenderedPageBreak/>
        <w:t xml:space="preserve">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a następnie niezwłocznie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lastRenderedPageBreak/>
        <w:t>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32897747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lastRenderedPageBreak/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lastRenderedPageBreak/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6A57840B" w14:textId="0946900F" w:rsidR="001611BF" w:rsidRPr="006462EE" w:rsidRDefault="001611BF" w:rsidP="006E6CF6">
      <w:pPr>
        <w:spacing w:after="60" w:line="240" w:lineRule="auto"/>
        <w:ind w:left="360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  <w:r w:rsidR="006E6CF6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 xml:space="preserve">wersją Podręcznika </w:t>
      </w:r>
      <w:r w:rsidR="00857B7E" w:rsidRPr="006462EE">
        <w:rPr>
          <w:rFonts w:ascii="Arial" w:hAnsi="Arial" w:cs="Arial"/>
          <w:sz w:val="20"/>
          <w:szCs w:val="20"/>
        </w:rPr>
        <w:lastRenderedPageBreak/>
        <w:t>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lastRenderedPageBreak/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lastRenderedPageBreak/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 xml:space="preserve">, </w:t>
      </w:r>
      <w:r w:rsidR="00687AA4">
        <w:rPr>
          <w:rFonts w:ascii="Arial" w:hAnsi="Arial" w:cs="Arial"/>
          <w:color w:val="000000"/>
          <w:sz w:val="20"/>
          <w:szCs w:val="20"/>
        </w:rPr>
        <w:lastRenderedPageBreak/>
        <w:t>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Beneficjent winien posiadać przynajmniej jedną osobę legitymującą się imiennym upoważnieniem do przetwarzania danych </w:t>
      </w:r>
      <w:r w:rsidRPr="006462EE">
        <w:rPr>
          <w:rFonts w:ascii="Arial" w:hAnsi="Arial" w:cs="Arial"/>
          <w:color w:val="000000"/>
          <w:sz w:val="20"/>
          <w:szCs w:val="20"/>
        </w:rPr>
        <w:lastRenderedPageBreak/>
        <w:t>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lastRenderedPageBreak/>
        <w:t>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lastRenderedPageBreak/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</w:t>
      </w:r>
      <w:r w:rsidR="009B050D" w:rsidRPr="006462EE">
        <w:rPr>
          <w:rFonts w:ascii="Arial" w:hAnsi="Arial" w:cs="Arial"/>
          <w:iCs/>
          <w:sz w:val="20"/>
          <w:szCs w:val="20"/>
        </w:rPr>
        <w:lastRenderedPageBreak/>
        <w:t xml:space="preserve">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2DBD" w14:textId="77777777" w:rsidR="000F3210" w:rsidRDefault="000F3210">
      <w:r>
        <w:separator/>
      </w:r>
    </w:p>
  </w:endnote>
  <w:endnote w:type="continuationSeparator" w:id="0">
    <w:p w14:paraId="5F90C42E" w14:textId="77777777" w:rsidR="000F3210" w:rsidRDefault="000F3210">
      <w:r>
        <w:continuationSeparator/>
      </w:r>
    </w:p>
  </w:endnote>
  <w:endnote w:type="continuationNotice" w:id="1">
    <w:p w14:paraId="095AC94C" w14:textId="77777777" w:rsidR="000F3210" w:rsidRDefault="000F3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9522C">
      <w:rPr>
        <w:noProof/>
      </w:rPr>
      <w:t>21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59522C">
      <w:rPr>
        <w:noProof/>
      </w:rPr>
      <w:t>42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DB7D" w14:textId="77777777" w:rsidR="000F3210" w:rsidRDefault="000F3210">
      <w:r>
        <w:separator/>
      </w:r>
    </w:p>
  </w:footnote>
  <w:footnote w:type="continuationSeparator" w:id="0">
    <w:p w14:paraId="716D2901" w14:textId="77777777" w:rsidR="000F3210" w:rsidRDefault="000F3210">
      <w:r>
        <w:continuationSeparator/>
      </w:r>
    </w:p>
  </w:footnote>
  <w:footnote w:type="continuationNotice" w:id="1">
    <w:p w14:paraId="1C573027" w14:textId="77777777" w:rsidR="000F3210" w:rsidRDefault="000F3210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3210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486A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5695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522C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593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492A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E6CF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3820"/>
    <w:rsid w:val="00C84CD1"/>
    <w:rsid w:val="00C85B1F"/>
    <w:rsid w:val="00C96D69"/>
    <w:rsid w:val="00C96E7C"/>
    <w:rsid w:val="00C976E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7520-4160-42B2-9487-7185843A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42</Pages>
  <Words>16280</Words>
  <Characters>97684</Characters>
  <Application>Microsoft Office Word</Application>
  <DocSecurity>0</DocSecurity>
  <Lines>814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Henryka Błaszkiewicz</cp:lastModifiedBy>
  <cp:revision>23</cp:revision>
  <cp:lastPrinted>2016-12-14T15:02:00Z</cp:lastPrinted>
  <dcterms:created xsi:type="dcterms:W3CDTF">2016-12-07T09:33:00Z</dcterms:created>
  <dcterms:modified xsi:type="dcterms:W3CDTF">2016-12-16T10:17:00Z</dcterms:modified>
</cp:coreProperties>
</file>