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A879" w14:textId="0F7317A4" w:rsidR="0023608B" w:rsidRPr="0023608B" w:rsidRDefault="0023608B" w:rsidP="0023608B">
      <w:pPr>
        <w:tabs>
          <w:tab w:val="center" w:pos="4536"/>
          <w:tab w:val="right" w:pos="9072"/>
        </w:tabs>
        <w:rPr>
          <w:rFonts w:asciiTheme="minorHAnsi" w:hAnsiTheme="minorHAnsi"/>
          <w:noProof/>
          <w:sz w:val="22"/>
          <w:szCs w:val="22"/>
        </w:rPr>
      </w:pPr>
      <w:r w:rsidRPr="0023608B"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745EAE">
        <w:rPr>
          <w:rFonts w:asciiTheme="minorHAnsi" w:hAnsiTheme="minorHAnsi"/>
          <w:noProof/>
          <w:sz w:val="22"/>
          <w:szCs w:val="22"/>
        </w:rPr>
        <w:t>10</w:t>
      </w:r>
      <w:bookmarkStart w:id="0" w:name="_GoBack"/>
      <w:bookmarkEnd w:id="0"/>
      <w:r w:rsidRPr="0023608B">
        <w:rPr>
          <w:rFonts w:asciiTheme="minorHAnsi" w:hAnsiTheme="minorHAnsi"/>
          <w:noProof/>
          <w:sz w:val="22"/>
          <w:szCs w:val="22"/>
        </w:rPr>
        <w:t xml:space="preserve"> do Regulaminu konkursu </w:t>
      </w:r>
    </w:p>
    <w:p w14:paraId="27D36418" w14:textId="2DDC2085" w:rsidR="00A26216" w:rsidRDefault="0023608B" w:rsidP="0023608B">
      <w:pPr>
        <w:tabs>
          <w:tab w:val="left" w:pos="90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3608B">
        <w:rPr>
          <w:rFonts w:asciiTheme="minorHAnsi" w:hAnsiTheme="minorHAnsi"/>
          <w:noProof/>
          <w:sz w:val="22"/>
          <w:szCs w:val="22"/>
        </w:rPr>
        <w:t>Wzór umowy o partnerstwie na rzecz realizacji Projektu</w:t>
      </w:r>
    </w:p>
    <w:p w14:paraId="70D86B86" w14:textId="692B7D60" w:rsidR="0023608B" w:rsidRDefault="0023608B" w:rsidP="0023608B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 w:rsidRPr="00C64EFC">
        <w:rPr>
          <w:noProof/>
        </w:rPr>
        <w:drawing>
          <wp:inline distT="0" distB="0" distL="0" distR="0" wp14:anchorId="4475B4D9" wp14:editId="31398841">
            <wp:extent cx="5760720" cy="666750"/>
            <wp:effectExtent l="0" t="0" r="0" b="0"/>
            <wp:docPr id="1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D8517" w14:textId="77777777" w:rsidR="00C562C3" w:rsidRPr="00A26216" w:rsidRDefault="00C562C3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DF620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minimis związanych z potrzebą monitorowania i kontroli zgodności z zasadami pomocy publicznej lub pomocy de minimis;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aspektów społecznych przy udzielaniu zamówień z zastosowaniem ustawy Pzp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minimis związanych z potrzebą monitorowania i kontroli zgodności z zasadami pomocy publicznej lub pomocy de minimis;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cross-financingu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trwałości wynikającej z przepisów w zakresie udzielenia pomocy publicznej/pomocy de minimis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180DA3B6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nie mogą przeznaczać środków finansowych, o których mowa w ust. 1 na cele inne niż związane z Projektem, w szczególności na tymczasowe finansowanie swojej podstawowej, pozaprojektowej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realizowanego/nych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realizowanego/nych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 xml:space="preserve">Projekt rozliczany jest na etapie końcowego wniosku o płatność pod względem finansowym proporcjonalnie do stopnia osiągnięcia założeń merytorycznych ujętych we wniosku </w:t>
      </w:r>
      <w:r w:rsidRPr="004D33B6">
        <w:rPr>
          <w:rFonts w:ascii="Arial" w:eastAsia="Calibri" w:hAnsi="Arial" w:cs="Arial"/>
          <w:sz w:val="22"/>
          <w:szCs w:val="22"/>
          <w:lang w:eastAsia="en-US"/>
        </w:rPr>
        <w:lastRenderedPageBreak/>
        <w:t>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poufności wszystkich danych osobowych powierzonych im w trakcie realizacji Projektu lub dokumentów uzyskanych w związku z wykonywaniem czynności objętych niniejszą umową, a także zachowania w poufności informacji o stosowanych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>Partnerzy zapewniają, że osoby, o których mowa w ust. 1, wykorzystują profil zaufany ePUAP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</w:t>
      </w:r>
      <w:r w:rsidRPr="00B47C73">
        <w:rPr>
          <w:rFonts w:ascii="Arial" w:hAnsi="Arial" w:cs="Arial"/>
          <w:bCs/>
          <w:sz w:val="22"/>
          <w:szCs w:val="22"/>
        </w:rPr>
        <w:lastRenderedPageBreak/>
        <w:t xml:space="preserve">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lastRenderedPageBreak/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powierzonego/ych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22CF7FE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506D858F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Partnerów w przypadku rażącego naruszenia obowiązków Partnera wynikających z 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14A9A76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869A1" w14:textId="77777777" w:rsidR="00401532" w:rsidRDefault="00401532" w:rsidP="00BB57A4">
      <w:r>
        <w:separator/>
      </w:r>
    </w:p>
  </w:endnote>
  <w:endnote w:type="continuationSeparator" w:id="0">
    <w:p w14:paraId="41CFA6C8" w14:textId="77777777" w:rsidR="00401532" w:rsidRDefault="00401532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CBE3" w14:textId="77777777" w:rsidR="0023608B" w:rsidRDefault="002360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E963" w14:textId="77777777" w:rsidR="0023608B" w:rsidRDefault="00236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7295" w14:textId="77777777" w:rsidR="0023608B" w:rsidRDefault="00236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8873" w14:textId="77777777" w:rsidR="00401532" w:rsidRDefault="00401532" w:rsidP="00BB57A4">
      <w:r>
        <w:separator/>
      </w:r>
    </w:p>
  </w:footnote>
  <w:footnote w:type="continuationSeparator" w:id="0">
    <w:p w14:paraId="77292336" w14:textId="77777777" w:rsidR="00401532" w:rsidRDefault="00401532" w:rsidP="00BB57A4">
      <w:r>
        <w:continuationSeparator/>
      </w:r>
    </w:p>
  </w:footnote>
  <w:footnote w:id="1">
    <w:p w14:paraId="470CCDB2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DE7689" w:rsidRPr="000913E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 w:rsidR="00D430BD"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DE7689" w:rsidRPr="00BB7DD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DE7689" w:rsidRDefault="00DE7689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DE7689" w:rsidRPr="000B6AE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A707C"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19">
    <w:p w14:paraId="535F83C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DE7689" w:rsidRPr="00242765" w:rsidRDefault="00DE7689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29">
    <w:p w14:paraId="078CA825" w14:textId="3E5ACF38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DE7689" w:rsidRPr="000B6AE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DE7689" w:rsidRPr="00531B9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31B98">
        <w:rPr>
          <w:rFonts w:ascii="Arial" w:hAnsi="Arial" w:cs="Arial"/>
          <w:sz w:val="16"/>
          <w:szCs w:val="16"/>
        </w:rPr>
        <w:t xml:space="preserve"> </w:t>
      </w:r>
      <w:r w:rsidRPr="00531B98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5">
    <w:p w14:paraId="650DF0BC" w14:textId="77777777" w:rsidR="00DE7689" w:rsidRPr="00B03992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DE7689" w:rsidRDefault="00DE7689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9">
    <w:p w14:paraId="1039C60C" w14:textId="16477218" w:rsidR="00DE7689" w:rsidRPr="00A72FA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</w:t>
      </w:r>
      <w:r w:rsidR="00D430BD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DE7689" w:rsidRPr="003918E6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DE7689" w:rsidRDefault="00DE7689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DE7689" w:rsidRPr="00275295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DE7689" w:rsidRPr="0027529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DE7689" w:rsidRPr="00F4007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DE7689" w:rsidRPr="00215096" w:rsidRDefault="00DE7689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DF16" w14:textId="77777777" w:rsidR="0023608B" w:rsidRDefault="0023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BEF7" w14:textId="2073DC98" w:rsidR="00DE7689" w:rsidRDefault="00DE7689" w:rsidP="009D7ADA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F4F0" w14:textId="662A6639" w:rsidR="00DE7689" w:rsidRDefault="00DE7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7089E"/>
    <w:rsid w:val="00171FA7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608B"/>
    <w:rsid w:val="00237D42"/>
    <w:rsid w:val="00242765"/>
    <w:rsid w:val="002730C5"/>
    <w:rsid w:val="00275F4F"/>
    <w:rsid w:val="002A7D61"/>
    <w:rsid w:val="002E3592"/>
    <w:rsid w:val="00320BDF"/>
    <w:rsid w:val="00326943"/>
    <w:rsid w:val="003275BC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62196"/>
    <w:rsid w:val="0067319D"/>
    <w:rsid w:val="006777F8"/>
    <w:rsid w:val="006C7545"/>
    <w:rsid w:val="00744B0D"/>
    <w:rsid w:val="00745EAE"/>
    <w:rsid w:val="00751F6E"/>
    <w:rsid w:val="00760C69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E26FC"/>
    <w:rsid w:val="00914833"/>
    <w:rsid w:val="00926880"/>
    <w:rsid w:val="0092790E"/>
    <w:rsid w:val="00944349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C625F"/>
    <w:rsid w:val="00CD4D56"/>
    <w:rsid w:val="00CF5FBA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F2D8-6A79-4120-8C3D-A4D0E020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8333</Words>
  <Characters>50000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Urbaniak</dc:creator>
  <cp:lastModifiedBy>Szymon Różycki</cp:lastModifiedBy>
  <cp:revision>3</cp:revision>
  <cp:lastPrinted>2020-01-07T08:57:00Z</cp:lastPrinted>
  <dcterms:created xsi:type="dcterms:W3CDTF">2020-01-09T10:02:00Z</dcterms:created>
  <dcterms:modified xsi:type="dcterms:W3CDTF">2020-01-20T10:02:00Z</dcterms:modified>
</cp:coreProperties>
</file>