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A42AC9">
        <w:rPr>
          <w:b/>
          <w:sz w:val="40"/>
          <w:szCs w:val="40"/>
        </w:rPr>
        <w:t>3</w:t>
      </w:r>
      <w:r w:rsidRPr="00FC65E2">
        <w:rPr>
          <w:b/>
          <w:sz w:val="40"/>
          <w:szCs w:val="40"/>
        </w:rPr>
        <w:t>-IP.01-10-00</w:t>
      </w:r>
      <w:r w:rsidR="00A42AC9">
        <w:rPr>
          <w:b/>
          <w:sz w:val="40"/>
          <w:szCs w:val="40"/>
        </w:rPr>
        <w:t>1</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621BCC"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22808881" w:history="1">
            <w:r w:rsidR="00621BCC" w:rsidRPr="00C01721">
              <w:rPr>
                <w:rStyle w:val="Hipercze"/>
                <w:rFonts w:ascii="Calibri" w:hAnsi="Calibri"/>
                <w:b/>
                <w:noProof/>
              </w:rPr>
              <w:t>I.</w:t>
            </w:r>
            <w:r w:rsidR="00621BCC">
              <w:rPr>
                <w:rFonts w:eastAsiaTheme="minorEastAsia"/>
                <w:noProof/>
                <w:lang w:eastAsia="pl-PL"/>
              </w:rPr>
              <w:tab/>
            </w:r>
            <w:r w:rsidR="00621BCC" w:rsidRPr="00C01721">
              <w:rPr>
                <w:rStyle w:val="Hipercze"/>
                <w:rFonts w:ascii="Calibri" w:hAnsi="Calibri"/>
                <w:b/>
                <w:noProof/>
              </w:rPr>
              <w:t>CEL</w:t>
            </w:r>
            <w:r w:rsidR="00621BCC">
              <w:rPr>
                <w:noProof/>
                <w:webHidden/>
              </w:rPr>
              <w:tab/>
            </w:r>
            <w:r w:rsidR="00621BCC">
              <w:rPr>
                <w:noProof/>
                <w:webHidden/>
              </w:rPr>
              <w:fldChar w:fldCharType="begin"/>
            </w:r>
            <w:r w:rsidR="00621BCC">
              <w:rPr>
                <w:noProof/>
                <w:webHidden/>
              </w:rPr>
              <w:instrText xml:space="preserve"> PAGEREF _Toc22808881 \h </w:instrText>
            </w:r>
            <w:r w:rsidR="00621BCC">
              <w:rPr>
                <w:noProof/>
                <w:webHidden/>
              </w:rPr>
            </w:r>
            <w:r w:rsidR="00621BCC">
              <w:rPr>
                <w:noProof/>
                <w:webHidden/>
              </w:rPr>
              <w:fldChar w:fldCharType="separate"/>
            </w:r>
            <w:r w:rsidR="00621BCC">
              <w:rPr>
                <w:noProof/>
                <w:webHidden/>
              </w:rPr>
              <w:t>3</w:t>
            </w:r>
            <w:r w:rsidR="00621BCC">
              <w:rPr>
                <w:noProof/>
                <w:webHidden/>
              </w:rPr>
              <w:fldChar w:fldCharType="end"/>
            </w:r>
          </w:hyperlink>
        </w:p>
        <w:p w:rsidR="00621BCC" w:rsidRDefault="00621BCC">
          <w:pPr>
            <w:pStyle w:val="Spistreci1"/>
            <w:tabs>
              <w:tab w:val="right" w:leader="dot" w:pos="9060"/>
            </w:tabs>
            <w:rPr>
              <w:rFonts w:eastAsiaTheme="minorEastAsia"/>
              <w:noProof/>
              <w:lang w:eastAsia="pl-PL"/>
            </w:rPr>
          </w:pPr>
          <w:hyperlink w:anchor="_Toc22808882" w:history="1">
            <w:r w:rsidRPr="00C01721">
              <w:rPr>
                <w:rStyle w:val="Hipercze"/>
                <w:b/>
                <w:noProof/>
              </w:rPr>
              <w:t>II.   OGÓLNE ZASADY</w:t>
            </w:r>
            <w:r>
              <w:rPr>
                <w:noProof/>
                <w:webHidden/>
              </w:rPr>
              <w:tab/>
            </w:r>
            <w:r>
              <w:rPr>
                <w:noProof/>
                <w:webHidden/>
              </w:rPr>
              <w:fldChar w:fldCharType="begin"/>
            </w:r>
            <w:r>
              <w:rPr>
                <w:noProof/>
                <w:webHidden/>
              </w:rPr>
              <w:instrText xml:space="preserve"> PAGEREF _Toc22808882 \h </w:instrText>
            </w:r>
            <w:r>
              <w:rPr>
                <w:noProof/>
                <w:webHidden/>
              </w:rPr>
            </w:r>
            <w:r>
              <w:rPr>
                <w:noProof/>
                <w:webHidden/>
              </w:rPr>
              <w:fldChar w:fldCharType="separate"/>
            </w:r>
            <w:r>
              <w:rPr>
                <w:noProof/>
                <w:webHidden/>
              </w:rPr>
              <w:t>3</w:t>
            </w:r>
            <w:r>
              <w:rPr>
                <w:noProof/>
                <w:webHidden/>
              </w:rPr>
              <w:fldChar w:fldCharType="end"/>
            </w:r>
          </w:hyperlink>
        </w:p>
        <w:p w:rsidR="00621BCC" w:rsidRDefault="00621BCC">
          <w:pPr>
            <w:pStyle w:val="Spistreci1"/>
            <w:tabs>
              <w:tab w:val="right" w:leader="dot" w:pos="9060"/>
            </w:tabs>
            <w:rPr>
              <w:rFonts w:eastAsiaTheme="minorEastAsia"/>
              <w:noProof/>
              <w:lang w:eastAsia="pl-PL"/>
            </w:rPr>
          </w:pPr>
          <w:hyperlink w:anchor="_Toc22808883" w:history="1">
            <w:r w:rsidRPr="00C01721">
              <w:rPr>
                <w:rStyle w:val="Hipercze"/>
                <w:b/>
                <w:noProof/>
              </w:rPr>
              <w:t>III.   INSTRUMENTY AKTYWNEJ INTEGRACJI</w:t>
            </w:r>
            <w:r>
              <w:rPr>
                <w:noProof/>
                <w:webHidden/>
              </w:rPr>
              <w:tab/>
            </w:r>
            <w:r>
              <w:rPr>
                <w:noProof/>
                <w:webHidden/>
              </w:rPr>
              <w:fldChar w:fldCharType="begin"/>
            </w:r>
            <w:r>
              <w:rPr>
                <w:noProof/>
                <w:webHidden/>
              </w:rPr>
              <w:instrText xml:space="preserve"> PAGEREF _Toc22808883 \h </w:instrText>
            </w:r>
            <w:r>
              <w:rPr>
                <w:noProof/>
                <w:webHidden/>
              </w:rPr>
            </w:r>
            <w:r>
              <w:rPr>
                <w:noProof/>
                <w:webHidden/>
              </w:rPr>
              <w:fldChar w:fldCharType="separate"/>
            </w:r>
            <w:r>
              <w:rPr>
                <w:noProof/>
                <w:webHidden/>
              </w:rPr>
              <w:t>5</w:t>
            </w:r>
            <w:r>
              <w:rPr>
                <w:noProof/>
                <w:webHidden/>
              </w:rPr>
              <w:fldChar w:fldCharType="end"/>
            </w:r>
          </w:hyperlink>
        </w:p>
        <w:p w:rsidR="00621BCC" w:rsidRDefault="00621BCC">
          <w:pPr>
            <w:pStyle w:val="Spistreci2"/>
            <w:rPr>
              <w:rFonts w:eastAsiaTheme="minorEastAsia"/>
              <w:noProof/>
              <w:lang w:eastAsia="pl-PL"/>
            </w:rPr>
          </w:pPr>
          <w:hyperlink w:anchor="_Toc22808884" w:history="1">
            <w:r w:rsidRPr="00C01721">
              <w:rPr>
                <w:rStyle w:val="Hipercze"/>
                <w:b/>
                <w:noProof/>
                <w:lang w:eastAsia="pl-PL"/>
              </w:rPr>
              <w:t>III.1.</w:t>
            </w:r>
            <w:r>
              <w:rPr>
                <w:rFonts w:eastAsiaTheme="minorEastAsia"/>
                <w:noProof/>
                <w:lang w:eastAsia="pl-PL"/>
              </w:rPr>
              <w:tab/>
            </w:r>
            <w:r w:rsidRPr="00C01721">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_Toc22808884 \h </w:instrText>
            </w:r>
            <w:r>
              <w:rPr>
                <w:noProof/>
                <w:webHidden/>
              </w:rPr>
            </w:r>
            <w:r>
              <w:rPr>
                <w:noProof/>
                <w:webHidden/>
              </w:rPr>
              <w:fldChar w:fldCharType="separate"/>
            </w:r>
            <w:r>
              <w:rPr>
                <w:noProof/>
                <w:webHidden/>
              </w:rPr>
              <w:t>7</w:t>
            </w:r>
            <w:r>
              <w:rPr>
                <w:noProof/>
                <w:webHidden/>
              </w:rPr>
              <w:fldChar w:fldCharType="end"/>
            </w:r>
          </w:hyperlink>
        </w:p>
        <w:p w:rsidR="00621BCC" w:rsidRDefault="00621BCC">
          <w:pPr>
            <w:pStyle w:val="Spistreci2"/>
            <w:rPr>
              <w:rFonts w:eastAsiaTheme="minorEastAsia"/>
              <w:noProof/>
              <w:lang w:eastAsia="pl-PL"/>
            </w:rPr>
          </w:pPr>
          <w:hyperlink w:anchor="_Toc22808885" w:history="1">
            <w:r w:rsidRPr="00C01721">
              <w:rPr>
                <w:rStyle w:val="Hipercze"/>
                <w:b/>
                <w:noProof/>
                <w:lang w:eastAsia="pl-PL"/>
              </w:rPr>
              <w:t>III.2.</w:t>
            </w:r>
            <w:r>
              <w:rPr>
                <w:rFonts w:eastAsiaTheme="minorEastAsia"/>
                <w:noProof/>
                <w:lang w:eastAsia="pl-PL"/>
              </w:rPr>
              <w:tab/>
            </w:r>
            <w:r w:rsidRPr="00C01721">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_Toc22808885 \h </w:instrText>
            </w:r>
            <w:r>
              <w:rPr>
                <w:noProof/>
                <w:webHidden/>
              </w:rPr>
            </w:r>
            <w:r>
              <w:rPr>
                <w:noProof/>
                <w:webHidden/>
              </w:rPr>
              <w:fldChar w:fldCharType="separate"/>
            </w:r>
            <w:r>
              <w:rPr>
                <w:noProof/>
                <w:webHidden/>
              </w:rPr>
              <w:t>7</w:t>
            </w:r>
            <w:r>
              <w:rPr>
                <w:noProof/>
                <w:webHidden/>
              </w:rPr>
              <w:fldChar w:fldCharType="end"/>
            </w:r>
          </w:hyperlink>
        </w:p>
        <w:p w:rsidR="00621BCC" w:rsidRDefault="00621BCC">
          <w:pPr>
            <w:pStyle w:val="Spistreci2"/>
            <w:rPr>
              <w:rFonts w:eastAsiaTheme="minorEastAsia"/>
              <w:noProof/>
              <w:lang w:eastAsia="pl-PL"/>
            </w:rPr>
          </w:pPr>
          <w:hyperlink w:anchor="_Toc22808886" w:history="1">
            <w:r w:rsidRPr="00C01721">
              <w:rPr>
                <w:rStyle w:val="Hipercze"/>
                <w:b/>
                <w:noProof/>
                <w:lang w:eastAsia="pl-PL"/>
              </w:rPr>
              <w:t>III.3.</w:t>
            </w:r>
            <w:r>
              <w:rPr>
                <w:rFonts w:eastAsiaTheme="minorEastAsia"/>
                <w:noProof/>
                <w:lang w:eastAsia="pl-PL"/>
              </w:rPr>
              <w:tab/>
            </w:r>
            <w:r w:rsidRPr="00C01721">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_Toc22808886 \h </w:instrText>
            </w:r>
            <w:r>
              <w:rPr>
                <w:noProof/>
                <w:webHidden/>
              </w:rPr>
            </w:r>
            <w:r>
              <w:rPr>
                <w:noProof/>
                <w:webHidden/>
              </w:rPr>
              <w:fldChar w:fldCharType="separate"/>
            </w:r>
            <w:r>
              <w:rPr>
                <w:noProof/>
                <w:webHidden/>
              </w:rPr>
              <w:t>9</w:t>
            </w:r>
            <w:r>
              <w:rPr>
                <w:noProof/>
                <w:webHidden/>
              </w:rPr>
              <w:fldChar w:fldCharType="end"/>
            </w:r>
          </w:hyperlink>
        </w:p>
        <w:p w:rsidR="00621BCC" w:rsidRDefault="00621BCC">
          <w:pPr>
            <w:pStyle w:val="Spistreci1"/>
            <w:tabs>
              <w:tab w:val="left" w:pos="660"/>
              <w:tab w:val="right" w:leader="dot" w:pos="9060"/>
            </w:tabs>
            <w:rPr>
              <w:rFonts w:eastAsiaTheme="minorEastAsia"/>
              <w:noProof/>
              <w:lang w:eastAsia="pl-PL"/>
            </w:rPr>
          </w:pPr>
          <w:hyperlink w:anchor="_Toc22808887" w:history="1">
            <w:r w:rsidRPr="00C01721">
              <w:rPr>
                <w:rStyle w:val="Hipercze"/>
                <w:b/>
                <w:noProof/>
              </w:rPr>
              <w:t>IV.</w:t>
            </w:r>
            <w:r>
              <w:rPr>
                <w:rFonts w:eastAsiaTheme="minorEastAsia"/>
                <w:noProof/>
                <w:lang w:eastAsia="pl-PL"/>
              </w:rPr>
              <w:tab/>
            </w:r>
            <w:r w:rsidRPr="00C01721">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_Toc22808887 \h </w:instrText>
            </w:r>
            <w:r>
              <w:rPr>
                <w:noProof/>
                <w:webHidden/>
              </w:rPr>
            </w:r>
            <w:r>
              <w:rPr>
                <w:noProof/>
                <w:webHidden/>
              </w:rPr>
              <w:fldChar w:fldCharType="separate"/>
            </w:r>
            <w:r>
              <w:rPr>
                <w:noProof/>
                <w:webHidden/>
              </w:rPr>
              <w:t>9</w:t>
            </w:r>
            <w:r>
              <w:rPr>
                <w:noProof/>
                <w:webHidden/>
              </w:rPr>
              <w:fldChar w:fldCharType="end"/>
            </w:r>
          </w:hyperlink>
        </w:p>
        <w:p w:rsidR="00621BCC" w:rsidRDefault="00621BCC">
          <w:pPr>
            <w:pStyle w:val="Spistreci3"/>
            <w:rPr>
              <w:rFonts w:eastAsiaTheme="minorEastAsia"/>
              <w:noProof/>
              <w:lang w:eastAsia="pl-PL"/>
            </w:rPr>
          </w:pPr>
          <w:hyperlink w:anchor="_Toc22808888" w:history="1">
            <w:r w:rsidRPr="00C01721">
              <w:rPr>
                <w:rStyle w:val="Hipercze"/>
                <w:rFonts w:ascii="Calibri" w:hAnsi="Calibri"/>
                <w:noProof/>
              </w:rPr>
              <w:t>IV.1.</w:t>
            </w:r>
            <w:r>
              <w:rPr>
                <w:rFonts w:eastAsiaTheme="minorEastAsia"/>
                <w:noProof/>
                <w:lang w:eastAsia="pl-PL"/>
              </w:rPr>
              <w:tab/>
            </w:r>
            <w:r w:rsidRPr="00C01721">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_Toc22808888 \h </w:instrText>
            </w:r>
            <w:r>
              <w:rPr>
                <w:noProof/>
                <w:webHidden/>
              </w:rPr>
            </w:r>
            <w:r>
              <w:rPr>
                <w:noProof/>
                <w:webHidden/>
              </w:rPr>
              <w:fldChar w:fldCharType="separate"/>
            </w:r>
            <w:r>
              <w:rPr>
                <w:noProof/>
                <w:webHidden/>
              </w:rPr>
              <w:t>9</w:t>
            </w:r>
            <w:r>
              <w:rPr>
                <w:noProof/>
                <w:webHidden/>
              </w:rPr>
              <w:fldChar w:fldCharType="end"/>
            </w:r>
          </w:hyperlink>
        </w:p>
        <w:p w:rsidR="00621BCC" w:rsidRDefault="00621BCC">
          <w:pPr>
            <w:pStyle w:val="Spistreci3"/>
            <w:rPr>
              <w:rFonts w:eastAsiaTheme="minorEastAsia"/>
              <w:noProof/>
              <w:lang w:eastAsia="pl-PL"/>
            </w:rPr>
          </w:pPr>
          <w:hyperlink w:anchor="_Toc22808889" w:history="1">
            <w:r w:rsidRPr="00C01721">
              <w:rPr>
                <w:rStyle w:val="Hipercze"/>
                <w:rFonts w:ascii="Calibri" w:hAnsi="Calibri"/>
                <w:noProof/>
              </w:rPr>
              <w:t>IV.2.</w:t>
            </w:r>
            <w:r>
              <w:rPr>
                <w:rFonts w:eastAsiaTheme="minorEastAsia"/>
                <w:noProof/>
                <w:lang w:eastAsia="pl-PL"/>
              </w:rPr>
              <w:tab/>
            </w:r>
            <w:r w:rsidRPr="00C01721">
              <w:rPr>
                <w:rStyle w:val="Hipercze"/>
                <w:rFonts w:ascii="Calibri" w:hAnsi="Calibri"/>
                <w:noProof/>
              </w:rPr>
              <w:t>Szkolenia</w:t>
            </w:r>
            <w:r>
              <w:rPr>
                <w:noProof/>
                <w:webHidden/>
              </w:rPr>
              <w:tab/>
            </w:r>
            <w:r>
              <w:rPr>
                <w:noProof/>
                <w:webHidden/>
              </w:rPr>
              <w:fldChar w:fldCharType="begin"/>
            </w:r>
            <w:r>
              <w:rPr>
                <w:noProof/>
                <w:webHidden/>
              </w:rPr>
              <w:instrText xml:space="preserve"> PAGEREF _Toc22808889 \h </w:instrText>
            </w:r>
            <w:r>
              <w:rPr>
                <w:noProof/>
                <w:webHidden/>
              </w:rPr>
            </w:r>
            <w:r>
              <w:rPr>
                <w:noProof/>
                <w:webHidden/>
              </w:rPr>
              <w:fldChar w:fldCharType="separate"/>
            </w:r>
            <w:r>
              <w:rPr>
                <w:noProof/>
                <w:webHidden/>
              </w:rPr>
              <w:t>13</w:t>
            </w:r>
            <w:r>
              <w:rPr>
                <w:noProof/>
                <w:webHidden/>
              </w:rPr>
              <w:fldChar w:fldCharType="end"/>
            </w:r>
          </w:hyperlink>
        </w:p>
        <w:p w:rsidR="00621BCC" w:rsidRDefault="00621BCC">
          <w:pPr>
            <w:pStyle w:val="Spistreci3"/>
            <w:rPr>
              <w:rFonts w:eastAsiaTheme="minorEastAsia"/>
              <w:noProof/>
              <w:lang w:eastAsia="pl-PL"/>
            </w:rPr>
          </w:pPr>
          <w:hyperlink w:anchor="_Toc22808890" w:history="1">
            <w:r w:rsidRPr="00C01721">
              <w:rPr>
                <w:rStyle w:val="Hipercze"/>
                <w:rFonts w:ascii="Calibri" w:hAnsi="Calibri"/>
                <w:noProof/>
              </w:rPr>
              <w:t>IV.3.</w:t>
            </w:r>
            <w:r>
              <w:rPr>
                <w:rFonts w:eastAsiaTheme="minorEastAsia"/>
                <w:noProof/>
                <w:lang w:eastAsia="pl-PL"/>
              </w:rPr>
              <w:tab/>
            </w:r>
            <w:r w:rsidRPr="00C01721">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_Toc22808890 \h </w:instrText>
            </w:r>
            <w:r>
              <w:rPr>
                <w:noProof/>
                <w:webHidden/>
              </w:rPr>
            </w:r>
            <w:r>
              <w:rPr>
                <w:noProof/>
                <w:webHidden/>
              </w:rPr>
              <w:fldChar w:fldCharType="separate"/>
            </w:r>
            <w:r>
              <w:rPr>
                <w:noProof/>
                <w:webHidden/>
              </w:rPr>
              <w:t>16</w:t>
            </w:r>
            <w:r>
              <w:rPr>
                <w:noProof/>
                <w:webHidden/>
              </w:rPr>
              <w:fldChar w:fldCharType="end"/>
            </w:r>
          </w:hyperlink>
        </w:p>
        <w:p w:rsidR="00621BCC" w:rsidRDefault="00621BCC">
          <w:pPr>
            <w:pStyle w:val="Spistreci3"/>
            <w:rPr>
              <w:rFonts w:eastAsiaTheme="minorEastAsia"/>
              <w:noProof/>
              <w:lang w:eastAsia="pl-PL"/>
            </w:rPr>
          </w:pPr>
          <w:hyperlink w:anchor="_Toc22808891" w:history="1">
            <w:r w:rsidRPr="00C01721">
              <w:rPr>
                <w:rStyle w:val="Hipercze"/>
                <w:b/>
                <w:noProof/>
              </w:rPr>
              <w:t xml:space="preserve">V. </w:t>
            </w:r>
            <w:r w:rsidRPr="00C01721">
              <w:rPr>
                <w:rStyle w:val="Hipercze"/>
                <w:rFonts w:eastAsia="Times New Roman" w:cs="Arial"/>
                <w:b/>
                <w:bCs/>
                <w:noProof/>
              </w:rPr>
              <w:t>KOSZTY DOJAZDU UCZESTNIKA PROJEKTU/PERSONELU PROEJKTU</w:t>
            </w:r>
            <w:r>
              <w:rPr>
                <w:noProof/>
                <w:webHidden/>
              </w:rPr>
              <w:tab/>
            </w:r>
            <w:r>
              <w:rPr>
                <w:noProof/>
                <w:webHidden/>
              </w:rPr>
              <w:fldChar w:fldCharType="begin"/>
            </w:r>
            <w:r>
              <w:rPr>
                <w:noProof/>
                <w:webHidden/>
              </w:rPr>
              <w:instrText xml:space="preserve"> PAGEREF _Toc22808891 \h </w:instrText>
            </w:r>
            <w:r>
              <w:rPr>
                <w:noProof/>
                <w:webHidden/>
              </w:rPr>
            </w:r>
            <w:r>
              <w:rPr>
                <w:noProof/>
                <w:webHidden/>
              </w:rPr>
              <w:fldChar w:fldCharType="separate"/>
            </w:r>
            <w:r>
              <w:rPr>
                <w:noProof/>
                <w:webHidden/>
              </w:rPr>
              <w:t>16</w:t>
            </w:r>
            <w:r>
              <w:rPr>
                <w:noProof/>
                <w:webHidden/>
              </w:rPr>
              <w:fldChar w:fldCharType="end"/>
            </w:r>
          </w:hyperlink>
        </w:p>
        <w:p w:rsidR="00621BCC" w:rsidRDefault="00621BCC">
          <w:pPr>
            <w:pStyle w:val="Spistreci1"/>
            <w:tabs>
              <w:tab w:val="right" w:leader="dot" w:pos="9060"/>
            </w:tabs>
            <w:rPr>
              <w:rFonts w:eastAsiaTheme="minorEastAsia"/>
              <w:noProof/>
              <w:lang w:eastAsia="pl-PL"/>
            </w:rPr>
          </w:pPr>
          <w:hyperlink w:anchor="_Toc22808892" w:history="1">
            <w:r w:rsidRPr="00C01721">
              <w:rPr>
                <w:rStyle w:val="Hipercze"/>
                <w:b/>
                <w:noProof/>
              </w:rPr>
              <w:t>VI. MECHANIZM RACJONALNYCH USPRAWNIEŃ</w:t>
            </w:r>
            <w:r>
              <w:rPr>
                <w:noProof/>
                <w:webHidden/>
              </w:rPr>
              <w:tab/>
            </w:r>
            <w:r>
              <w:rPr>
                <w:noProof/>
                <w:webHidden/>
              </w:rPr>
              <w:fldChar w:fldCharType="begin"/>
            </w:r>
            <w:r>
              <w:rPr>
                <w:noProof/>
                <w:webHidden/>
              </w:rPr>
              <w:instrText xml:space="preserve"> PAGEREF _Toc22808892 \h </w:instrText>
            </w:r>
            <w:r>
              <w:rPr>
                <w:noProof/>
                <w:webHidden/>
              </w:rPr>
            </w:r>
            <w:r>
              <w:rPr>
                <w:noProof/>
                <w:webHidden/>
              </w:rPr>
              <w:fldChar w:fldCharType="separate"/>
            </w:r>
            <w:r>
              <w:rPr>
                <w:noProof/>
                <w:webHidden/>
              </w:rPr>
              <w:t>18</w:t>
            </w:r>
            <w:r>
              <w:rPr>
                <w:noProof/>
                <w:webHidden/>
              </w:rPr>
              <w:fldChar w:fldCharType="end"/>
            </w:r>
          </w:hyperlink>
        </w:p>
        <w:p w:rsidR="00621BCC" w:rsidRDefault="00621BCC">
          <w:pPr>
            <w:pStyle w:val="Spistreci1"/>
            <w:tabs>
              <w:tab w:val="left" w:pos="660"/>
              <w:tab w:val="right" w:leader="dot" w:pos="9060"/>
            </w:tabs>
            <w:rPr>
              <w:rFonts w:eastAsiaTheme="minorEastAsia"/>
              <w:noProof/>
              <w:lang w:eastAsia="pl-PL"/>
            </w:rPr>
          </w:pPr>
          <w:hyperlink w:anchor="_Toc22808893" w:history="1">
            <w:r w:rsidRPr="00C01721">
              <w:rPr>
                <w:rStyle w:val="Hipercze"/>
                <w:rFonts w:ascii="Calibri" w:hAnsi="Calibri"/>
                <w:b/>
                <w:noProof/>
              </w:rPr>
              <w:t>VII.</w:t>
            </w:r>
            <w:r>
              <w:rPr>
                <w:rFonts w:eastAsiaTheme="minorEastAsia"/>
                <w:noProof/>
                <w:lang w:eastAsia="pl-PL"/>
              </w:rPr>
              <w:tab/>
            </w:r>
            <w:r w:rsidRPr="00C01721">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_Toc22808893 \h </w:instrText>
            </w:r>
            <w:r>
              <w:rPr>
                <w:noProof/>
                <w:webHidden/>
              </w:rPr>
            </w:r>
            <w:r>
              <w:rPr>
                <w:noProof/>
                <w:webHidden/>
              </w:rPr>
              <w:fldChar w:fldCharType="separate"/>
            </w:r>
            <w:r>
              <w:rPr>
                <w:noProof/>
                <w:webHidden/>
              </w:rPr>
              <w:t>19</w:t>
            </w:r>
            <w:r>
              <w:rPr>
                <w:noProof/>
                <w:webHidden/>
              </w:rPr>
              <w:fldChar w:fldCharType="end"/>
            </w:r>
          </w:hyperlink>
        </w:p>
        <w:p w:rsidR="00621BCC" w:rsidRDefault="00621BCC">
          <w:pPr>
            <w:pStyle w:val="Spistreci2"/>
            <w:rPr>
              <w:rFonts w:eastAsiaTheme="minorEastAsia"/>
              <w:noProof/>
              <w:lang w:eastAsia="pl-PL"/>
            </w:rPr>
          </w:pPr>
          <w:hyperlink w:anchor="_Toc22808894" w:history="1">
            <w:r w:rsidRPr="00C01721">
              <w:rPr>
                <w:rStyle w:val="Hipercze"/>
                <w:b/>
                <w:noProof/>
              </w:rPr>
              <w:t>VII.1.</w:t>
            </w:r>
            <w:r>
              <w:rPr>
                <w:rFonts w:eastAsiaTheme="minorEastAsia"/>
                <w:noProof/>
                <w:lang w:eastAsia="pl-PL"/>
              </w:rPr>
              <w:tab/>
            </w:r>
            <w:r w:rsidRPr="00C01721">
              <w:rPr>
                <w:rStyle w:val="Hipercze"/>
                <w:b/>
                <w:noProof/>
              </w:rPr>
              <w:t>Personel projektu / wykonawca usługi</w:t>
            </w:r>
            <w:r>
              <w:rPr>
                <w:noProof/>
                <w:webHidden/>
              </w:rPr>
              <w:tab/>
            </w:r>
            <w:r>
              <w:rPr>
                <w:noProof/>
                <w:webHidden/>
              </w:rPr>
              <w:fldChar w:fldCharType="begin"/>
            </w:r>
            <w:r>
              <w:rPr>
                <w:noProof/>
                <w:webHidden/>
              </w:rPr>
              <w:instrText xml:space="preserve"> PAGEREF _Toc22808894 \h </w:instrText>
            </w:r>
            <w:r>
              <w:rPr>
                <w:noProof/>
                <w:webHidden/>
              </w:rPr>
            </w:r>
            <w:r>
              <w:rPr>
                <w:noProof/>
                <w:webHidden/>
              </w:rPr>
              <w:fldChar w:fldCharType="separate"/>
            </w:r>
            <w:r>
              <w:rPr>
                <w:noProof/>
                <w:webHidden/>
              </w:rPr>
              <w:t>20</w:t>
            </w:r>
            <w:r>
              <w:rPr>
                <w:noProof/>
                <w:webHidden/>
              </w:rPr>
              <w:fldChar w:fldCharType="end"/>
            </w:r>
          </w:hyperlink>
        </w:p>
        <w:p w:rsidR="00621BCC" w:rsidRDefault="00621BCC">
          <w:pPr>
            <w:pStyle w:val="Spistreci2"/>
            <w:rPr>
              <w:rFonts w:eastAsiaTheme="minorEastAsia"/>
              <w:noProof/>
              <w:lang w:eastAsia="pl-PL"/>
            </w:rPr>
          </w:pPr>
          <w:hyperlink w:anchor="_Toc22808895" w:history="1">
            <w:r w:rsidRPr="00C01721">
              <w:rPr>
                <w:rStyle w:val="Hipercze"/>
                <w:b/>
                <w:noProof/>
              </w:rPr>
              <w:t>VII.2.</w:t>
            </w:r>
            <w:r>
              <w:rPr>
                <w:rFonts w:eastAsiaTheme="minorEastAsia"/>
                <w:noProof/>
                <w:lang w:eastAsia="pl-PL"/>
              </w:rPr>
              <w:tab/>
            </w:r>
            <w:r w:rsidRPr="00C01721">
              <w:rPr>
                <w:rStyle w:val="Hipercze"/>
                <w:b/>
                <w:noProof/>
              </w:rPr>
              <w:t>Towary i usługi</w:t>
            </w:r>
            <w:r>
              <w:rPr>
                <w:noProof/>
                <w:webHidden/>
              </w:rPr>
              <w:tab/>
            </w:r>
            <w:r>
              <w:rPr>
                <w:noProof/>
                <w:webHidden/>
              </w:rPr>
              <w:fldChar w:fldCharType="begin"/>
            </w:r>
            <w:r>
              <w:rPr>
                <w:noProof/>
                <w:webHidden/>
              </w:rPr>
              <w:instrText xml:space="preserve"> PAGEREF _Toc22808895 \h </w:instrText>
            </w:r>
            <w:r>
              <w:rPr>
                <w:noProof/>
                <w:webHidden/>
              </w:rPr>
            </w:r>
            <w:r>
              <w:rPr>
                <w:noProof/>
                <w:webHidden/>
              </w:rPr>
              <w:fldChar w:fldCharType="separate"/>
            </w:r>
            <w:r>
              <w:rPr>
                <w:noProof/>
                <w:webHidden/>
              </w:rPr>
              <w:t>29</w:t>
            </w:r>
            <w:r>
              <w:rPr>
                <w:noProof/>
                <w:webHidden/>
              </w:rPr>
              <w:fldChar w:fldCharType="end"/>
            </w:r>
          </w:hyperlink>
        </w:p>
        <w:p w:rsidR="00621BCC" w:rsidRDefault="00621BCC">
          <w:pPr>
            <w:pStyle w:val="Spistreci2"/>
            <w:rPr>
              <w:rFonts w:eastAsiaTheme="minorEastAsia"/>
              <w:noProof/>
              <w:lang w:eastAsia="pl-PL"/>
            </w:rPr>
          </w:pPr>
          <w:hyperlink w:anchor="_Toc22808896" w:history="1">
            <w:r w:rsidRPr="00C01721">
              <w:rPr>
                <w:rStyle w:val="Hipercze"/>
                <w:b/>
                <w:noProof/>
              </w:rPr>
              <w:t>VII.3.</w:t>
            </w:r>
            <w:r>
              <w:rPr>
                <w:rFonts w:eastAsiaTheme="minorEastAsia"/>
                <w:noProof/>
                <w:lang w:eastAsia="pl-PL"/>
              </w:rPr>
              <w:tab/>
            </w:r>
            <w:r w:rsidRPr="00C01721">
              <w:rPr>
                <w:rStyle w:val="Hipercze"/>
                <w:b/>
                <w:noProof/>
              </w:rPr>
              <w:t>Szkolenia</w:t>
            </w:r>
            <w:r>
              <w:rPr>
                <w:noProof/>
                <w:webHidden/>
              </w:rPr>
              <w:tab/>
            </w:r>
            <w:r>
              <w:rPr>
                <w:noProof/>
                <w:webHidden/>
              </w:rPr>
              <w:fldChar w:fldCharType="begin"/>
            </w:r>
            <w:r>
              <w:rPr>
                <w:noProof/>
                <w:webHidden/>
              </w:rPr>
              <w:instrText xml:space="preserve"> PAGEREF _Toc22808896 \h </w:instrText>
            </w:r>
            <w:r>
              <w:rPr>
                <w:noProof/>
                <w:webHidden/>
              </w:rPr>
            </w:r>
            <w:r>
              <w:rPr>
                <w:noProof/>
                <w:webHidden/>
              </w:rPr>
              <w:fldChar w:fldCharType="separate"/>
            </w:r>
            <w:r>
              <w:rPr>
                <w:noProof/>
                <w:webHidden/>
              </w:rPr>
              <w:t>39</w:t>
            </w:r>
            <w:r>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22808881"/>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bookmarkEnd w:id="1"/>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434160">
        <w:rPr>
          <w:rFonts w:eastAsia="Times New Roman" w:cs="Arial"/>
          <w:sz w:val="24"/>
          <w:szCs w:val="24"/>
          <w:lang w:eastAsia="pl-PL"/>
        </w:rPr>
        <w:t>3</w:t>
      </w:r>
      <w:r w:rsidRPr="0095414C">
        <w:rPr>
          <w:rFonts w:eastAsia="Times New Roman" w:cs="Arial"/>
          <w:sz w:val="24"/>
          <w:szCs w:val="24"/>
          <w:lang w:eastAsia="pl-PL"/>
        </w:rPr>
        <w:t>-IP.01-10-00</w:t>
      </w:r>
      <w:r w:rsidR="00434160">
        <w:rPr>
          <w:rFonts w:eastAsia="Times New Roman" w:cs="Arial"/>
          <w:sz w:val="24"/>
          <w:szCs w:val="24"/>
          <w:lang w:eastAsia="pl-PL"/>
        </w:rPr>
        <w:t>1</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434160">
        <w:rPr>
          <w:rFonts w:cs="Arial"/>
          <w:sz w:val="24"/>
          <w:szCs w:val="24"/>
        </w:rPr>
        <w:t>3</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2" w:name="_Toc472409155"/>
      <w:bookmarkStart w:id="3" w:name="_Toc22808882"/>
      <w:r w:rsidRPr="007271CE">
        <w:rPr>
          <w:b/>
          <w:color w:val="auto"/>
          <w:sz w:val="28"/>
          <w:szCs w:val="28"/>
        </w:rPr>
        <w:t xml:space="preserve">II.   </w:t>
      </w:r>
      <w:r w:rsidR="003C0F70" w:rsidRPr="007271CE">
        <w:rPr>
          <w:b/>
          <w:color w:val="auto"/>
          <w:sz w:val="28"/>
          <w:szCs w:val="28"/>
        </w:rPr>
        <w:t>OGÓLNE ZASADY</w:t>
      </w:r>
      <w:bookmarkEnd w:id="2"/>
      <w:bookmarkEnd w:id="3"/>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 xml:space="preserve">Wytycznymi w zakresie realizacji przedsięwzięć z udziałem środków Europejskiego Funduszu Społecznego w obszarze rynku pracy na lata 2014 2020 z dnia </w:t>
      </w:r>
      <w:r w:rsidR="00434160">
        <w:rPr>
          <w:rFonts w:cs="Calibri"/>
          <w:sz w:val="24"/>
          <w:szCs w:val="24"/>
        </w:rPr>
        <w:t>8</w:t>
      </w:r>
      <w:r w:rsidRPr="006C648C">
        <w:rPr>
          <w:rFonts w:cs="Calibri"/>
          <w:sz w:val="24"/>
          <w:szCs w:val="24"/>
        </w:rPr>
        <w:t xml:space="preserve"> s</w:t>
      </w:r>
      <w:r w:rsidR="00434160">
        <w:rPr>
          <w:rFonts w:cs="Calibri"/>
          <w:sz w:val="24"/>
          <w:szCs w:val="24"/>
        </w:rPr>
        <w:t>ierp</w:t>
      </w:r>
      <w:r w:rsidRPr="006C648C">
        <w:rPr>
          <w:rFonts w:cs="Calibri"/>
          <w:sz w:val="24"/>
          <w:szCs w:val="24"/>
        </w:rPr>
        <w:t>nia 201</w:t>
      </w:r>
      <w:r w:rsidR="00434160">
        <w:rPr>
          <w:rFonts w:cs="Calibri"/>
          <w:sz w:val="24"/>
          <w:szCs w:val="24"/>
        </w:rPr>
        <w:t>9</w:t>
      </w:r>
      <w:r w:rsidRPr="006C648C">
        <w:rPr>
          <w:rFonts w:cs="Calibri"/>
          <w:sz w:val="24"/>
          <w:szCs w:val="24"/>
        </w:rPr>
        <w:t xml:space="preserve"> r.;</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2C5520" w:rsidRDefault="002C5520">
      <w:pPr>
        <w:pStyle w:val="Normalnyodstp"/>
        <w:numPr>
          <w:ilvl w:val="0"/>
          <w:numId w:val="5"/>
        </w:numPr>
        <w:ind w:left="426" w:hanging="426"/>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lastRenderedPageBreak/>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10579E" w:rsidRPr="000B34A9" w:rsidRDefault="0010579E" w:rsidP="0010579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W ramach projektu każdy uczestnik</w:t>
      </w:r>
      <w:r>
        <w:rPr>
          <w:rFonts w:cs="Calibri"/>
          <w:sz w:val="24"/>
          <w:szCs w:val="24"/>
        </w:rPr>
        <w:t xml:space="preserve"> </w:t>
      </w:r>
      <w:r w:rsidRPr="005825F2">
        <w:rPr>
          <w:rFonts w:cs="Calibri"/>
          <w:sz w:val="24"/>
          <w:szCs w:val="24"/>
        </w:rPr>
        <w:t>podpisuje i realizuje kontrakt socjalny lub inny indywidualny program lub program aktywności lokalnej lub projekt socjalny</w:t>
      </w:r>
      <w:r>
        <w:rPr>
          <w:rFonts w:cs="Calibri"/>
          <w:sz w:val="24"/>
          <w:szCs w:val="24"/>
        </w:rPr>
        <w:t xml:space="preserve"> bądź z każdym</w:t>
      </w:r>
      <w:r w:rsidRPr="007C76E3">
        <w:rPr>
          <w:rFonts w:eastAsia="Times New Roman" w:cs="Arial"/>
          <w:sz w:val="24"/>
          <w:szCs w:val="24"/>
          <w:lang w:eastAsia="pl-PL"/>
        </w:rPr>
        <w:t xml:space="preserve"> </w:t>
      </w:r>
      <w:r w:rsidRPr="000B34A9">
        <w:rPr>
          <w:rFonts w:eastAsia="Times New Roman" w:cs="Arial"/>
          <w:sz w:val="24"/>
          <w:szCs w:val="24"/>
          <w:lang w:eastAsia="pl-PL"/>
        </w:rPr>
        <w:t>uczestnikiem podpisywana jest umowa na wzór kontraktu socjalnego</w:t>
      </w:r>
      <w:r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lastRenderedPageBreak/>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7C6FEC">
      <w:pPr>
        <w:pStyle w:val="Bezodstpw"/>
        <w:widowControl/>
        <w:rPr>
          <w:rFonts w:asciiTheme="minorHAnsi" w:hAnsiTheme="minorHAnsi"/>
        </w:rPr>
      </w:pPr>
    </w:p>
    <w:p w:rsidR="00F25B8A" w:rsidRPr="007271CE" w:rsidRDefault="009C3563" w:rsidP="004C0E94">
      <w:pPr>
        <w:pStyle w:val="Nagwek1"/>
        <w:jc w:val="both"/>
        <w:rPr>
          <w:b/>
          <w:sz w:val="28"/>
          <w:szCs w:val="28"/>
          <w:lang w:eastAsia="pl-PL"/>
        </w:rPr>
      </w:pPr>
      <w:bookmarkStart w:id="4" w:name="_Toc472409156"/>
      <w:bookmarkStart w:id="5" w:name="_Toc22808883"/>
      <w:r w:rsidRPr="007271CE">
        <w:rPr>
          <w:b/>
          <w:color w:val="auto"/>
          <w:sz w:val="28"/>
          <w:szCs w:val="28"/>
        </w:rPr>
        <w:t xml:space="preserve">III.   </w:t>
      </w:r>
      <w:r w:rsidR="00F25B8A" w:rsidRPr="007271CE">
        <w:rPr>
          <w:b/>
          <w:color w:val="auto"/>
          <w:sz w:val="28"/>
          <w:szCs w:val="28"/>
        </w:rPr>
        <w:t>INSTRUMENTY AKTYWNEJ INTEGRACJI</w:t>
      </w:r>
      <w:bookmarkEnd w:id="4"/>
      <w:bookmarkEnd w:id="5"/>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lastRenderedPageBreak/>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w:t>
      </w:r>
      <w:r w:rsidR="00E01777">
        <w:rPr>
          <w:rFonts w:cs="Arial"/>
          <w:sz w:val="24"/>
          <w:szCs w:val="24"/>
        </w:rPr>
        <w:t>y</w:t>
      </w:r>
      <w:r w:rsidRPr="00F02D35">
        <w:rPr>
          <w:rFonts w:cs="Arial"/>
          <w:sz w:val="24"/>
          <w:szCs w:val="24"/>
        </w:rPr>
        <w:t>.</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6" w:name="_Toc472409157"/>
      <w:bookmarkStart w:id="7" w:name="_Toc22808884"/>
      <w:r w:rsidRPr="009C3563">
        <w:rPr>
          <w:b/>
          <w:color w:val="auto"/>
          <w:lang w:eastAsia="pl-PL"/>
        </w:rPr>
        <w:t>III.1.</w:t>
      </w:r>
      <w:r w:rsidRPr="009C3563">
        <w:rPr>
          <w:b/>
          <w:color w:val="auto"/>
          <w:lang w:eastAsia="pl-PL"/>
        </w:rPr>
        <w:tab/>
        <w:t>Instrumenty aktywizacji społecznej</w:t>
      </w:r>
      <w:bookmarkEnd w:id="6"/>
      <w:bookmarkEnd w:id="7"/>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8" w:name="_Toc472409158"/>
      <w:bookmarkStart w:id="9" w:name="_Toc22808885"/>
      <w:r w:rsidRPr="009C3563">
        <w:rPr>
          <w:b/>
          <w:color w:val="auto"/>
          <w:lang w:eastAsia="pl-PL"/>
        </w:rPr>
        <w:t>III.2.</w:t>
      </w:r>
      <w:r w:rsidRPr="009C3563">
        <w:rPr>
          <w:b/>
          <w:color w:val="auto"/>
          <w:lang w:eastAsia="pl-PL"/>
        </w:rPr>
        <w:tab/>
        <w:t xml:space="preserve">Instrumenty aktywizacji </w:t>
      </w:r>
      <w:bookmarkEnd w:id="8"/>
      <w:r w:rsidR="0090573F" w:rsidRPr="009C3563">
        <w:rPr>
          <w:b/>
          <w:color w:val="auto"/>
          <w:lang w:eastAsia="pl-PL"/>
        </w:rPr>
        <w:t>zawodowej</w:t>
      </w:r>
      <w:bookmarkEnd w:id="9"/>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lastRenderedPageBreak/>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bookmarkStart w:id="10" w:name="_GoBack"/>
      <w:bookmarkEnd w:id="10"/>
      <w:r w:rsidRPr="0095414C">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3D3EC5" w:rsidRPr="001B1801" w:rsidRDefault="0090573F" w:rsidP="001B1801">
      <w:pPr>
        <w:numPr>
          <w:ilvl w:val="0"/>
          <w:numId w:val="21"/>
        </w:numPr>
        <w:tabs>
          <w:tab w:val="clear" w:pos="360"/>
          <w:tab w:val="num" w:pos="851"/>
          <w:tab w:val="left" w:pos="1440"/>
        </w:tabs>
        <w:suppressAutoHyphens/>
        <w:spacing w:after="120" w:line="276" w:lineRule="auto"/>
        <w:ind w:left="850"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9C6FBF" w:rsidRPr="00B70090" w:rsidRDefault="00AC0EEB" w:rsidP="001B1801">
      <w:pPr>
        <w:numPr>
          <w:ilvl w:val="0"/>
          <w:numId w:val="20"/>
        </w:numPr>
        <w:tabs>
          <w:tab w:val="left" w:pos="1440"/>
        </w:tabs>
        <w:suppressAutoHyphens/>
        <w:spacing w:before="120" w:after="0" w:line="276" w:lineRule="auto"/>
        <w:ind w:left="357" w:hanging="357"/>
        <w:contextualSpacing/>
        <w:rPr>
          <w:rFonts w:eastAsia="Times New Roman" w:cs="Arial"/>
          <w:sz w:val="24"/>
          <w:szCs w:val="24"/>
          <w:lang w:eastAsia="pl-PL"/>
        </w:rPr>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1B1801" w:rsidRDefault="00AC0EEB" w:rsidP="001B1801">
      <w:pPr>
        <w:spacing w:before="120" w:after="120"/>
        <w:rPr>
          <w:rFonts w:eastAsia="Times New Roman" w:cs="Arial"/>
          <w:sz w:val="16"/>
          <w:szCs w:val="16"/>
          <w:lang w:eastAsia="pl-PL"/>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621BCC" w:rsidRPr="001B1801" w:rsidRDefault="0090573F" w:rsidP="001B1801">
      <w:pPr>
        <w:tabs>
          <w:tab w:val="left" w:pos="426"/>
        </w:tabs>
        <w:spacing w:after="0"/>
        <w:ind w:left="426"/>
        <w:contextualSpacing/>
        <w:rPr>
          <w:rStyle w:val="FontStyle52"/>
          <w:rFonts w:ascii="Calibri" w:hAnsi="Calibri" w:cs="Arial"/>
          <w:b w:val="0"/>
          <w:sz w:val="24"/>
          <w:szCs w:val="24"/>
        </w:rPr>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621BCC" w:rsidRPr="001B1801" w:rsidRDefault="00621BCC" w:rsidP="001B1801">
      <w:pPr>
        <w:pStyle w:val="Akapitzlist"/>
        <w:numPr>
          <w:ilvl w:val="0"/>
          <w:numId w:val="90"/>
        </w:numPr>
        <w:tabs>
          <w:tab w:val="left" w:pos="426"/>
        </w:tabs>
        <w:spacing w:after="0"/>
        <w:ind w:left="426" w:hanging="426"/>
        <w:rPr>
          <w:rFonts w:eastAsia="Times New Roman" w:cs="Arial"/>
          <w:sz w:val="24"/>
          <w:szCs w:val="24"/>
          <w:lang w:eastAsia="pl-PL"/>
        </w:rPr>
      </w:pPr>
      <w:r>
        <w:rPr>
          <w:rFonts w:eastAsia="Times New Roman" w:cs="Arial"/>
          <w:sz w:val="24"/>
          <w:szCs w:val="24"/>
          <w:lang w:eastAsia="pl-PL"/>
        </w:rPr>
        <w:t xml:space="preserve">Subsydiowane zatrudnienie - </w:t>
      </w:r>
      <w:r w:rsidRPr="00621BCC">
        <w:rPr>
          <w:rFonts w:eastAsia="Times New Roman" w:cs="Arial"/>
          <w:sz w:val="24"/>
          <w:szCs w:val="24"/>
          <w:lang w:eastAsia="pl-PL"/>
        </w:rPr>
        <w:t xml:space="preserve">zgodnie z treścią Wytycznych w zakresie realizacji przedsięwzięć z udziałem środków Europejskiego Funduszu Społecznego w obszarze </w:t>
      </w:r>
      <w:r w:rsidRPr="00621BCC">
        <w:rPr>
          <w:rFonts w:eastAsia="Times New Roman" w:cs="Arial"/>
          <w:sz w:val="24"/>
          <w:szCs w:val="24"/>
          <w:lang w:eastAsia="pl-PL"/>
        </w:rPr>
        <w:lastRenderedPageBreak/>
        <w:t>rynku pracy na lata 2014-2020 wsparcie w postaci zatrudnienia subsydiowanego może być realizowane wyłącznie w ramach projektów powiatowych urzędów pracy.</w:t>
      </w:r>
    </w:p>
    <w:p w:rsidR="00F25633" w:rsidRDefault="00F25633" w:rsidP="004C0E94">
      <w:pPr>
        <w:pStyle w:val="Nagwek2"/>
        <w:jc w:val="both"/>
        <w:rPr>
          <w:b/>
          <w:color w:val="auto"/>
          <w:lang w:eastAsia="pl-PL"/>
        </w:rPr>
      </w:pPr>
      <w:bookmarkStart w:id="11" w:name="_Toc472409159"/>
    </w:p>
    <w:p w:rsidR="0090573F" w:rsidRPr="009C3563" w:rsidRDefault="0090573F" w:rsidP="004C0E94">
      <w:pPr>
        <w:pStyle w:val="Nagwek2"/>
        <w:jc w:val="both"/>
        <w:rPr>
          <w:b/>
          <w:lang w:eastAsia="pl-PL"/>
        </w:rPr>
      </w:pPr>
      <w:bookmarkStart w:id="12" w:name="_Toc22808886"/>
      <w:r w:rsidRPr="009C3563">
        <w:rPr>
          <w:b/>
          <w:color w:val="auto"/>
          <w:lang w:eastAsia="pl-PL"/>
        </w:rPr>
        <w:t>III.3.</w:t>
      </w:r>
      <w:r w:rsidRPr="009C3563">
        <w:rPr>
          <w:b/>
          <w:color w:val="auto"/>
          <w:lang w:eastAsia="pl-PL"/>
        </w:rPr>
        <w:tab/>
        <w:t xml:space="preserve">Instrumenty aktywizacji </w:t>
      </w:r>
      <w:bookmarkEnd w:id="11"/>
      <w:r w:rsidRPr="009C3563">
        <w:rPr>
          <w:b/>
          <w:color w:val="auto"/>
          <w:lang w:eastAsia="pl-PL"/>
        </w:rPr>
        <w:t>edukacyjnej</w:t>
      </w:r>
      <w:bookmarkEnd w:id="12"/>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3" w:name="_Toc472409160"/>
      <w:bookmarkStart w:id="14" w:name="_Toc22808887"/>
      <w:r w:rsidRPr="007271CE">
        <w:rPr>
          <w:b/>
          <w:color w:val="auto"/>
          <w:sz w:val="28"/>
          <w:szCs w:val="28"/>
        </w:rPr>
        <w:t>IV.</w:t>
      </w:r>
      <w:r w:rsidRPr="007271CE">
        <w:rPr>
          <w:b/>
          <w:color w:val="auto"/>
          <w:sz w:val="28"/>
          <w:szCs w:val="28"/>
        </w:rPr>
        <w:tab/>
        <w:t>ZASADY REALIZACJI NIEKTÓRYCH INSTRUMENTÓW AKTYWIZACJI ZAWODOWEJ</w:t>
      </w:r>
      <w:bookmarkEnd w:id="13"/>
      <w:bookmarkEnd w:id="14"/>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5" w:name="_Toc490645125"/>
    </w:p>
    <w:p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6" w:name="_Toc22808888"/>
      <w:r w:rsidRPr="00890254">
        <w:rPr>
          <w:rFonts w:ascii="Calibri" w:hAnsi="Calibri"/>
          <w:sz w:val="24"/>
          <w:szCs w:val="24"/>
        </w:rPr>
        <w:t>IV.1.</w:t>
      </w:r>
      <w:r w:rsidRPr="00890254">
        <w:rPr>
          <w:rFonts w:ascii="Calibri" w:hAnsi="Calibri"/>
          <w:sz w:val="24"/>
          <w:szCs w:val="24"/>
        </w:rPr>
        <w:tab/>
      </w:r>
      <w:bookmarkStart w:id="17" w:name="_Toc472409164"/>
      <w:bookmarkEnd w:id="15"/>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6"/>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bookmarkStart w:id="18"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2"/>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8"/>
      <w:r w:rsidRPr="00774D5E">
        <w:rPr>
          <w:rFonts w:eastAsia="Times New Roman" w:cs="Calibri"/>
          <w:sz w:val="24"/>
          <w:szCs w:val="24"/>
          <w:lang w:eastAsia="pl-PL"/>
        </w:rPr>
        <w:t xml:space="preserve"> oraz spełniać podstawowe wymogi zapewniające wysoki standard stażu poprzez zapewnienie, iż: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lastRenderedPageBreak/>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756B16" w:rsidRPr="00774D5E" w:rsidRDefault="00756B16" w:rsidP="00756B16">
      <w:pPr>
        <w:numPr>
          <w:ilvl w:val="1"/>
          <w:numId w:val="87"/>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bookmarkStart w:id="19" w:name="s1"/>
      <w:bookmarkEnd w:id="19"/>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756B16" w:rsidRPr="00774D5E" w:rsidRDefault="00756B16" w:rsidP="00756B1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0029D2">
        <w:rPr>
          <w:rFonts w:eastAsia="Times New Roman" w:cs="Calibri"/>
          <w:sz w:val="24"/>
          <w:szCs w:val="24"/>
          <w:lang w:eastAsia="pl-PL"/>
        </w:rPr>
        <w:t>,</w:t>
      </w:r>
      <w:r w:rsidR="00BC4AFD" w:rsidRPr="00BC4AFD">
        <w:rPr>
          <w:rFonts w:ascii="Arial" w:eastAsia="Times New Roman" w:hAnsi="Arial" w:cs="Arial"/>
          <w:lang w:eastAsia="pl-PL"/>
        </w:rPr>
        <w:t xml:space="preserve"> </w:t>
      </w:r>
      <w:r w:rsidR="00BC4AFD" w:rsidRPr="007C6FEC">
        <w:rPr>
          <w:rFonts w:eastAsia="Times New Roman" w:cs="Calibri"/>
          <w:sz w:val="24"/>
          <w:szCs w:val="24"/>
          <w:lang w:eastAsia="pl-PL"/>
        </w:rPr>
        <w:t>chyba że w danym miesiącu nie występuje 20 dni roboczych i odbywanie stażu w mniejszej liczbie godzin stażowych jest niezawinione ze strony uczestnika i podmiotu przyjmującego na staż</w:t>
      </w:r>
      <w:r w:rsidRPr="007C6FEC">
        <w:rPr>
          <w:rFonts w:eastAsia="Times New Roman" w:cs="Calibri"/>
          <w:sz w:val="24"/>
          <w:szCs w:val="24"/>
          <w:lang w:eastAsia="pl-PL"/>
        </w:rPr>
        <w:t>.</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składki społeczne, na podstawie obowiązującej ustawy o systemie ubezpieczeń społecznych. Składki społeczne finansuje w całości beneficjent, w </w:t>
      </w:r>
      <w:r w:rsidRPr="00774D5E">
        <w:rPr>
          <w:rFonts w:eastAsia="Times New Roman" w:cs="Calibri"/>
          <w:sz w:val="24"/>
          <w:szCs w:val="24"/>
          <w:lang w:eastAsia="pl-PL"/>
        </w:rPr>
        <w:lastRenderedPageBreak/>
        <w:t>związku z tym dodatkowo, oprócz kwoty stypendium, powinny one zostać uwzględnione przez beneficjenta w budżecie projektu.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BC4AFD" w:rsidRPr="007C6FEC">
        <w:rPr>
          <w:rFonts w:eastAsia="Times New Roman" w:cs="Calibri"/>
          <w:sz w:val="24"/>
          <w:szCs w:val="24"/>
          <w:lang w:eastAsia="pl-PL"/>
        </w:rPr>
        <w:t>wykonywania zadań</w:t>
      </w:r>
      <w:r w:rsidRPr="00774D5E">
        <w:rPr>
          <w:rFonts w:eastAsia="Times New Roman" w:cs="Calibri"/>
          <w:sz w:val="24"/>
          <w:szCs w:val="24"/>
          <w:lang w:eastAsia="pl-PL"/>
        </w:rPr>
        <w:t>,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bookmarkStart w:id="20" w:name="s2"/>
      <w:bookmarkEnd w:id="20"/>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3"/>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 xml:space="preserve">Refundację podmiotowi przyjmującemu na staż dodatku do wynagrodzenia opiekuna stażysty w sytuacji, gdy nie został zwolniony od obowiązku świadczenia pracy na rzecz </w:t>
      </w:r>
      <w:r w:rsidRPr="00774D5E">
        <w:rPr>
          <w:rFonts w:eastAsia="Times New Roman" w:cs="Calibri"/>
          <w:sz w:val="24"/>
          <w:szCs w:val="24"/>
          <w:lang w:eastAsia="pl-PL"/>
        </w:rPr>
        <w:lastRenderedPageBreak/>
        <w:t>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0"/>
          <w:numId w:val="89"/>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Funkcje opiekuna stażysty może pełnić wyłącznie osoba posiadająca co najmniej </w:t>
      </w:r>
      <w:r w:rsidR="00BC4AFD" w:rsidRPr="007C6FEC">
        <w:rPr>
          <w:rFonts w:eastAsia="Times New Roman" w:cs="Calibri"/>
          <w:sz w:val="24"/>
          <w:szCs w:val="24"/>
          <w:lang w:eastAsia="pl-PL"/>
        </w:rPr>
        <w:t>dwunastomiesięczny</w:t>
      </w:r>
      <w:r w:rsidRPr="00774D5E">
        <w:rPr>
          <w:rFonts w:eastAsia="Times New Roman" w:cs="Calibri"/>
          <w:sz w:val="24"/>
          <w:szCs w:val="24"/>
          <w:lang w:eastAsia="pl-PL"/>
        </w:rPr>
        <w:t xml:space="preserve"> staż pracy na danym stanowisku, na którym odbywa się staż lub co najmniej dwunastomiesięczne doświadczenie w branży / dziedzinie, w jakiej realizowany jest staż.</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 przypadku pełnienia funkcji opiekuna stażysty przez osoby zatrudnione na umowę cywilnoprawną możliwe jest rozliczenie w projekcie ich wynagrodzenia wynikającego z umowy lub jego części. Jednocześnie niedopuszczalne jest sprawowanie opieki nad stażystą przez osobę związaną z pracodawcą umową cywilnoprawną, która została zatrudniona tylko i wyłącznie do pełnienia funkcji opiekuna stażysty. </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4"/>
      </w:r>
      <w:r w:rsidR="00BC4AFD" w:rsidRPr="007C6FEC">
        <w:rPr>
          <w:rFonts w:eastAsia="Times New Roman" w:cs="Calibri"/>
          <w:color w:val="000000"/>
          <w:sz w:val="24"/>
          <w:szCs w:val="24"/>
          <w:lang w:eastAsia="pl-PL"/>
        </w:rPr>
        <w:t>.</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lastRenderedPageBreak/>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Katalog wydatków przewidzianych w ramach projektu może uwzględniać koszty inne niż koszty stypendium, opieki i opiekuna stażysty, związane z odbywaniem stażu (np. koszty dojazdu, koszty niezbędnych materiałów zużywalnych dla stażysty,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W ramach projektu niekwalifikowane są koszty związane z doposażeniem miejsca stażowego za wyjątkiem kosztów niezbędnych materiałów zużywalnych dla stażysty.</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7C6FEC">
        <w:rPr>
          <w:rFonts w:eastAsia="Times New Roman" w:cs="Calibri"/>
          <w:sz w:val="24"/>
          <w:szCs w:val="24"/>
          <w:lang w:eastAsia="pl-PL"/>
        </w:rPr>
        <w:t xml:space="preserve">Wydatki mogą być ponoszone wyłącznie przez </w:t>
      </w:r>
      <w:r w:rsidR="00EC4D5E" w:rsidRPr="007C6FEC">
        <w:rPr>
          <w:rFonts w:eastAsia="Times New Roman" w:cs="Calibri"/>
          <w:sz w:val="24"/>
          <w:szCs w:val="24"/>
          <w:lang w:eastAsia="pl-PL"/>
        </w:rPr>
        <w:t>podmiot przyjmujący na staż , które są rozliczane przez beneficjenta jako refundacja wydatków poniesionych.</w:t>
      </w:r>
      <w:r w:rsidR="00EC4D5E">
        <w:rPr>
          <w:rFonts w:eastAsia="Times New Roman" w:cs="Calibri"/>
          <w:sz w:val="24"/>
          <w:szCs w:val="24"/>
          <w:lang w:eastAsia="pl-PL"/>
        </w:rPr>
        <w:t xml:space="preserve"> </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1" w:name="_Toc490645126"/>
      <w:bookmarkStart w:id="22" w:name="_Toc22808889"/>
      <w:r w:rsidRPr="00890254">
        <w:rPr>
          <w:rFonts w:ascii="Calibri" w:hAnsi="Calibri"/>
          <w:sz w:val="24"/>
          <w:szCs w:val="24"/>
        </w:rPr>
        <w:t>IV.2.</w:t>
      </w:r>
      <w:r w:rsidRPr="00890254">
        <w:rPr>
          <w:rFonts w:ascii="Calibri" w:hAnsi="Calibri"/>
          <w:sz w:val="24"/>
          <w:szCs w:val="24"/>
        </w:rPr>
        <w:tab/>
        <w:t>Szkolenia</w:t>
      </w:r>
      <w:bookmarkEnd w:id="21"/>
      <w:bookmarkEnd w:id="22"/>
    </w:p>
    <w:p w:rsidR="00DC69D3"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7C6FEC" w:rsidRPr="00890254" w:rsidRDefault="007C6FEC"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lastRenderedPageBreak/>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5"/>
      </w:r>
      <w:r w:rsidRPr="00890254">
        <w:rPr>
          <w:rFonts w:cs="Arial"/>
          <w:sz w:val="24"/>
          <w:szCs w:val="24"/>
        </w:rPr>
        <w:t xml:space="preserve"> lub nabycia kompetencji</w:t>
      </w:r>
      <w:r w:rsidRPr="00890254">
        <w:rPr>
          <w:rStyle w:val="Odwoanieprzypisudolnego"/>
          <w:rFonts w:cs="Arial"/>
          <w:sz w:val="24"/>
          <w:szCs w:val="24"/>
        </w:rPr>
        <w:footnoteReference w:id="6"/>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7"/>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 xml:space="preserve">Wsparcie polegające na grupowym podnoszeniu kompetencji uczestników w zakresie sporządzania dokumentów aplikacyjnych, zarządzania czasem w poszukiwaniu pracy, przygotowania do rozmowy kwalifikacyjnej, autoprezentacji należy traktować jako </w:t>
      </w:r>
      <w:r w:rsidRPr="00855FFC">
        <w:rPr>
          <w:rFonts w:eastAsia="Times New Roman" w:cs="Arial"/>
          <w:sz w:val="24"/>
          <w:szCs w:val="24"/>
        </w:rPr>
        <w:lastRenderedPageBreak/>
        <w:t>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 xml:space="preserve">uczestnik w momencie wypłacania stypendium za dany okres nie jest w stanie udokumentować nieobecności w odpowiedni sposób, nie ma prawa do otrzymania </w:t>
      </w:r>
      <w:r w:rsidRPr="00AA5582">
        <w:rPr>
          <w:rFonts w:ascii="Calibri" w:hAnsi="Calibri"/>
          <w:sz w:val="24"/>
          <w:szCs w:val="24"/>
        </w:rPr>
        <w:lastRenderedPageBreak/>
        <w:t>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3" w:name="_Toc490645127"/>
      <w:bookmarkStart w:id="24" w:name="_Hlk490643338"/>
      <w:bookmarkStart w:id="25" w:name="_Toc22808890"/>
      <w:r w:rsidRPr="00890254">
        <w:rPr>
          <w:rFonts w:ascii="Calibri" w:hAnsi="Calibri"/>
          <w:sz w:val="24"/>
          <w:szCs w:val="24"/>
        </w:rPr>
        <w:t>IV.3.</w:t>
      </w:r>
      <w:r w:rsidRPr="00890254">
        <w:rPr>
          <w:rFonts w:ascii="Calibri" w:hAnsi="Calibri"/>
          <w:sz w:val="24"/>
          <w:szCs w:val="24"/>
        </w:rPr>
        <w:tab/>
        <w:t>Zatrudnienie wspomagane</w:t>
      </w:r>
      <w:bookmarkEnd w:id="23"/>
      <w:bookmarkEnd w:id="25"/>
    </w:p>
    <w:bookmarkEnd w:id="24"/>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6" w:name="_Toc22808891"/>
      <w:r>
        <w:rPr>
          <w:b/>
          <w:sz w:val="28"/>
          <w:szCs w:val="28"/>
        </w:rPr>
        <w:t xml:space="preserve">V. </w:t>
      </w:r>
      <w:r w:rsidR="00BB3CB3" w:rsidRPr="00BB3CB3">
        <w:rPr>
          <w:rFonts w:eastAsia="Times New Roman" w:cs="Arial"/>
          <w:b/>
          <w:bCs/>
          <w:sz w:val="28"/>
          <w:szCs w:val="26"/>
        </w:rPr>
        <w:t>KOSZTY DOJAZDU UCZESTNIKA PROJ</w:t>
      </w:r>
      <w:r w:rsidR="00756B16">
        <w:rPr>
          <w:rFonts w:eastAsia="Times New Roman" w:cs="Arial"/>
          <w:b/>
          <w:bCs/>
          <w:sz w:val="28"/>
          <w:szCs w:val="26"/>
        </w:rPr>
        <w:t>E</w:t>
      </w:r>
      <w:r w:rsidR="00BB3CB3" w:rsidRPr="00BB3CB3">
        <w:rPr>
          <w:rFonts w:eastAsia="Times New Roman" w:cs="Arial"/>
          <w:b/>
          <w:bCs/>
          <w:sz w:val="28"/>
          <w:szCs w:val="26"/>
        </w:rPr>
        <w:t>KTU/PERSONELU PROEJKTU</w:t>
      </w:r>
      <w:bookmarkEnd w:id="26"/>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27" w:name="_Toc22808892"/>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8"/>
      </w:r>
      <w:bookmarkEnd w:id="17"/>
      <w:bookmarkEnd w:id="27"/>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lastRenderedPageBreak/>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w:t>
      </w:r>
      <w:r w:rsidRPr="0095414C">
        <w:rPr>
          <w:rFonts w:eastAsia="Times New Roman" w:cs="Arial"/>
          <w:sz w:val="24"/>
          <w:szCs w:val="24"/>
          <w:lang w:eastAsia="pl-PL"/>
        </w:rPr>
        <w:lastRenderedPageBreak/>
        <w:t xml:space="preserve">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28" w:name="_Toc472409165"/>
      <w:bookmarkStart w:id="29" w:name="_Toc22808893"/>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28"/>
      <w:bookmarkEnd w:id="29"/>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0" w:name="_Toc472409166"/>
      <w:bookmarkStart w:id="31" w:name="_Toc22808894"/>
      <w:r w:rsidRPr="007271CE">
        <w:rPr>
          <w:b/>
          <w:color w:val="auto"/>
        </w:rPr>
        <w:lastRenderedPageBreak/>
        <w:t>VI</w:t>
      </w:r>
      <w:r w:rsidR="004D77E1">
        <w:rPr>
          <w:b/>
          <w:color w:val="auto"/>
        </w:rPr>
        <w:t>I</w:t>
      </w:r>
      <w:r w:rsidRPr="007271CE">
        <w:rPr>
          <w:b/>
          <w:color w:val="auto"/>
        </w:rPr>
        <w:t>.1.</w:t>
      </w:r>
      <w:r w:rsidRPr="007271CE">
        <w:rPr>
          <w:b/>
          <w:color w:val="auto"/>
        </w:rPr>
        <w:tab/>
        <w:t>Personel projektu</w:t>
      </w:r>
      <w:bookmarkEnd w:id="30"/>
      <w:r w:rsidR="00E94B37">
        <w:rPr>
          <w:b/>
          <w:color w:val="auto"/>
        </w:rPr>
        <w:t xml:space="preserve"> / wykonawca usługi</w:t>
      </w:r>
      <w:bookmarkEnd w:id="31"/>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D24115" w:rsidRPr="00F00A38"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D24115" w:rsidRPr="0095414C" w:rsidRDefault="00D24115"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w:t>
            </w:r>
            <w:r w:rsidRPr="001B658C">
              <w:rPr>
                <w:rFonts w:eastAsia="Times New Roman" w:cs="Arial"/>
                <w:sz w:val="24"/>
                <w:szCs w:val="24"/>
                <w:lang w:eastAsia="pl-PL"/>
              </w:rPr>
              <w:lastRenderedPageBreak/>
              <w:t xml:space="preserve">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posiada</w:t>
            </w:r>
            <w:r w:rsidRPr="001B658C">
              <w:rPr>
                <w:rFonts w:eastAsia="Times New Roman" w:cs="Arial"/>
                <w:sz w:val="24"/>
                <w:szCs w:val="24"/>
                <w:lang w:eastAsia="pl-PL"/>
              </w:rPr>
              <w:t xml:space="preserve"> wykształcenie wyższe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 xml:space="preserve">posiada </w:t>
            </w: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odbył podyplomowy staż zawodowy, pod merytorycznym nadzorem psychologa posiadającego prawo </w:t>
            </w:r>
            <w:r w:rsidRPr="001B658C">
              <w:rPr>
                <w:rFonts w:eastAsia="Times New Roman" w:cs="Arial"/>
                <w:sz w:val="24"/>
                <w:szCs w:val="24"/>
                <w:lang w:eastAsia="pl-PL"/>
              </w:rPr>
              <w:lastRenderedPageBreak/>
              <w:t>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 prawo wykonywania zawodu psychologa.</w:t>
            </w:r>
          </w:p>
          <w:p w:rsidR="00AF4B2A" w:rsidRPr="00855FFC" w:rsidRDefault="00AF4B2A" w:rsidP="00AF4B2A">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 xml:space="preserve">.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AF4B2A" w:rsidRPr="00593162" w:rsidRDefault="00AF4B2A" w:rsidP="00AF4B2A">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 xml:space="preserve">doświadczenie zawodowe umożliwiające przeprowadzenie danego wsparcia, przy czym minimalne doświadczenie zawodowe w danej dziedzinie/w </w:t>
            </w:r>
            <w:r w:rsidRPr="00593162">
              <w:rPr>
                <w:rFonts w:eastAsia="Times New Roman" w:cs="Arial"/>
                <w:sz w:val="24"/>
                <w:szCs w:val="24"/>
                <w:lang w:eastAsia="pl-PL"/>
              </w:rPr>
              <w:lastRenderedPageBreak/>
              <w:t>pracy z określoną grupą docelową nie powinno być krótsze niż 1 rok.</w:t>
            </w:r>
          </w:p>
          <w:p w:rsidR="00AF4B2A" w:rsidRDefault="00AF4B2A" w:rsidP="00AF4B2A">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1287" w:rsidRDefault="00AF4B2A" w:rsidP="00AF4B2A">
            <w:pPr>
              <w:jc w:val="center"/>
              <w:rPr>
                <w:rFonts w:cs="Arial"/>
                <w:sz w:val="24"/>
                <w:szCs w:val="24"/>
              </w:rPr>
            </w:pPr>
            <w:r w:rsidRPr="001B1287">
              <w:rPr>
                <w:rFonts w:cs="Arial"/>
                <w:sz w:val="24"/>
                <w:szCs w:val="24"/>
              </w:rPr>
              <w:lastRenderedPageBreak/>
              <w:t>75 zł</w:t>
            </w: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trike/>
                <w:sz w:val="24"/>
                <w:szCs w:val="24"/>
                <w:highlight w:val="yellow"/>
              </w:rPr>
            </w:pPr>
            <w:r w:rsidRPr="00593162">
              <w:rPr>
                <w:rFonts w:cs="Arial"/>
                <w:sz w:val="24"/>
                <w:szCs w:val="24"/>
              </w:rPr>
              <w:t xml:space="preserve">Wynagrodzenie zgodne ze stawkami </w:t>
            </w:r>
            <w:r w:rsidRPr="00593162">
              <w:rPr>
                <w:rFonts w:cs="Arial"/>
                <w:sz w:val="24"/>
                <w:szCs w:val="24"/>
              </w:rPr>
              <w:lastRenderedPageBreak/>
              <w:t>stosowanymi u wnioskodawcy</w:t>
            </w:r>
          </w:p>
          <w:p w:rsidR="00AF4B2A" w:rsidRPr="00593162" w:rsidRDefault="00AF4B2A" w:rsidP="00AF4B2A">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jc w:val="center"/>
              <w:rPr>
                <w:rFonts w:eastAsia="Times New Roman" w:cs="Arial"/>
                <w:sz w:val="24"/>
                <w:szCs w:val="24"/>
                <w:lang w:eastAsia="pl-PL"/>
              </w:rPr>
            </w:pPr>
            <w:r w:rsidRPr="001B658C">
              <w:rPr>
                <w:rFonts w:eastAsia="Times New Roman" w:cs="Arial"/>
                <w:sz w:val="24"/>
                <w:szCs w:val="24"/>
                <w:lang w:eastAsia="pl-PL"/>
              </w:rPr>
              <w:lastRenderedPageBreak/>
              <w:t>godzina zegar</w:t>
            </w:r>
          </w:p>
          <w:p w:rsidR="00AF4B2A" w:rsidRPr="001B658C" w:rsidRDefault="00AF4B2A" w:rsidP="00AF4B2A">
            <w:pPr>
              <w:jc w:val="center"/>
              <w:rPr>
                <w:rFonts w:eastAsia="Times New Roman" w:cs="Arial"/>
                <w:sz w:val="24"/>
                <w:szCs w:val="24"/>
                <w:lang w:eastAsia="pl-PL"/>
              </w:rPr>
            </w:pPr>
          </w:p>
          <w:p w:rsidR="00AF4B2A" w:rsidRPr="001B658C" w:rsidRDefault="00AF4B2A" w:rsidP="00AF4B2A">
            <w:pPr>
              <w:jc w:val="center"/>
              <w:rPr>
                <w:rFonts w:eastAsia="Times New Roman" w:cs="Arial"/>
                <w:sz w:val="24"/>
                <w:szCs w:val="24"/>
                <w:lang w:eastAsia="pl-PL"/>
              </w:rPr>
            </w:pPr>
          </w:p>
          <w:p w:rsidR="00AF4B2A" w:rsidRPr="001B658C" w:rsidRDefault="00AF4B2A" w:rsidP="00AF4B2A">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AF4B2A"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r w:rsidR="00E51390">
              <w:rPr>
                <w:rFonts w:eastAsia="Times New Roman" w:cs="Arial"/>
                <w:sz w:val="24"/>
                <w:szCs w:val="24"/>
                <w:lang w:eastAsia="pl-PL"/>
              </w:rPr>
              <w:t xml:space="preserve">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r w:rsidR="00E51390">
              <w:rPr>
                <w:rFonts w:eastAsia="Times New Roman" w:cs="Arial"/>
                <w:sz w:val="24"/>
                <w:szCs w:val="24"/>
                <w:lang w:eastAsia="pl-PL"/>
              </w:rPr>
              <w:t xml:space="preserv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E51390">
              <w:rPr>
                <w:rFonts w:eastAsia="Times New Roman" w:cs="Arial"/>
                <w:sz w:val="24"/>
                <w:szCs w:val="24"/>
                <w:lang w:eastAsia="pl-PL"/>
              </w:rPr>
              <w:t xml:space="preserve">3 </w:t>
            </w:r>
            <w:r w:rsidR="00E51390">
              <w:rPr>
                <w:rFonts w:eastAsia="Times New Roman" w:cs="Arial"/>
                <w:sz w:val="24"/>
                <w:szCs w:val="24"/>
                <w:lang w:eastAsia="pl-PL"/>
              </w:rPr>
              <w:lastRenderedPageBreak/>
              <w:t xml:space="preserve">letni </w:t>
            </w:r>
            <w:r w:rsidRPr="00855FFC">
              <w:rPr>
                <w:rFonts w:eastAsia="Times New Roman" w:cs="Arial"/>
                <w:sz w:val="24"/>
                <w:szCs w:val="24"/>
                <w:lang w:eastAsia="pl-PL"/>
              </w:rPr>
              <w:t>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wykształcenie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 </w:t>
            </w:r>
            <w:proofErr w:type="spellStart"/>
            <w:r w:rsidRPr="00076CBC">
              <w:rPr>
                <w:rFonts w:eastAsia="Times New Roman" w:cs="Arial"/>
                <w:sz w:val="24"/>
                <w:szCs w:val="24"/>
                <w:lang w:eastAsia="pl-PL"/>
              </w:rPr>
              <w:t>oraz</w:t>
            </w:r>
            <w:r w:rsidR="00AF4B2A" w:rsidRPr="001B658C">
              <w:rPr>
                <w:rFonts w:eastAsia="Times New Roman" w:cs="Arial"/>
                <w:sz w:val="24"/>
                <w:szCs w:val="24"/>
                <w:lang w:eastAsia="pl-PL"/>
              </w:rPr>
              <w:t>doświadczenie</w:t>
            </w:r>
            <w:proofErr w:type="spellEnd"/>
            <w:r w:rsidR="00AF4B2A" w:rsidRPr="001B658C">
              <w:rPr>
                <w:rFonts w:eastAsia="Times New Roman" w:cs="Arial"/>
                <w:sz w:val="24"/>
                <w:szCs w:val="24"/>
                <w:lang w:eastAsia="pl-PL"/>
              </w:rPr>
              <w:t xml:space="preserve"> zawodowe umożliwiające przeprowadzenie danego wsparcia, przy czym minimalne doświadczenie zawodowe w</w:t>
            </w:r>
            <w:r w:rsidR="00AF4B2A">
              <w:rPr>
                <w:rFonts w:eastAsia="Times New Roman" w:cs="Arial"/>
                <w:sz w:val="24"/>
                <w:szCs w:val="24"/>
                <w:lang w:eastAsia="pl-PL"/>
              </w:rPr>
              <w:t> </w:t>
            </w:r>
            <w:r w:rsidR="00AF4B2A" w:rsidRPr="001B658C">
              <w:rPr>
                <w:rFonts w:eastAsia="Times New Roman" w:cs="Arial"/>
                <w:sz w:val="24"/>
                <w:szCs w:val="24"/>
                <w:lang w:eastAsia="pl-PL"/>
              </w:rPr>
              <w:t xml:space="preserve">prowadzeniu socjoterapii nie powinno być krótsze niż </w:t>
            </w:r>
            <w:r w:rsidR="00AF4B2A">
              <w:rPr>
                <w:rFonts w:eastAsia="Times New Roman" w:cs="Arial"/>
                <w:sz w:val="24"/>
                <w:szCs w:val="24"/>
                <w:lang w:eastAsia="pl-PL"/>
              </w:rPr>
              <w:t>1 rok</w:t>
            </w:r>
            <w:r w:rsidR="00AF4B2A"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 xml:space="preserve">zapisami http://www.kwalifikacje.praca.gov.pl/dane_kompetencji!browse.action?reload=trueBroker edukacyjny powinien posiadać wykształcenie wyższe pierwszego stopnia najlepiej na kierunkach: </w:t>
            </w:r>
            <w:r w:rsidRPr="001B658C">
              <w:rPr>
                <w:rFonts w:eastAsia="Times New Roman" w:cs="Arial"/>
                <w:sz w:val="24"/>
                <w:szCs w:val="24"/>
                <w:lang w:eastAsia="pl-PL"/>
              </w:rPr>
              <w:lastRenderedPageBreak/>
              <w:t>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AF4B2A" w:rsidRPr="00D945B6" w:rsidRDefault="00AF4B2A" w:rsidP="00AF4B2A">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cs="Arial"/>
                <w:sz w:val="24"/>
                <w:szCs w:val="24"/>
              </w:rPr>
            </w:pP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pedagogika, psychologia, resocjalizacja, praca socjalna, socjologia)  i/lub certyfikaty/ zaświadczenia/ inne </w:t>
            </w:r>
            <w:r w:rsidRPr="001B658C">
              <w:rPr>
                <w:rFonts w:eastAsia="Times New Roman" w:cs="Arial"/>
                <w:sz w:val="24"/>
                <w:szCs w:val="24"/>
                <w:lang w:eastAsia="pl-PL"/>
              </w:rPr>
              <w:lastRenderedPageBreak/>
              <w:t>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w:t>
            </w:r>
            <w:r w:rsidRPr="001B658C">
              <w:rPr>
                <w:rFonts w:eastAsia="Times New Roman" w:cs="Arial"/>
                <w:sz w:val="24"/>
                <w:szCs w:val="24"/>
                <w:lang w:eastAsia="pl-PL"/>
              </w:rPr>
              <w:lastRenderedPageBreak/>
              <w:t xml:space="preserve">czasem pracy 160 h/m-c. </w:t>
            </w:r>
          </w:p>
        </w:tc>
      </w:tr>
      <w:tr w:rsidR="00AF4B2A"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12</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076CBC" w:rsidRPr="00076CBC" w:rsidRDefault="00076CBC" w:rsidP="00076CBC">
            <w:p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asystent osobisty posiada:</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min. zawodowe</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doświadczenie (minimum roczne) w realizacji usług asystenckich, w tym zawodowe, </w:t>
            </w:r>
            <w:proofErr w:type="spellStart"/>
            <w:r w:rsidRPr="00076CBC">
              <w:rPr>
                <w:rFonts w:eastAsia="Times New Roman" w:cs="Arial"/>
                <w:sz w:val="24"/>
                <w:szCs w:val="24"/>
                <w:lang w:eastAsia="pl-PL"/>
              </w:rPr>
              <w:t>wolontariackie</w:t>
            </w:r>
            <w:proofErr w:type="spellEnd"/>
            <w:r w:rsidRPr="00076CBC">
              <w:rPr>
                <w:rFonts w:eastAsia="Times New Roman" w:cs="Arial"/>
                <w:sz w:val="24"/>
                <w:szCs w:val="24"/>
                <w:lang w:eastAsia="pl-PL"/>
              </w:rPr>
              <w:t xml:space="preserve"> lub osobiste, wynikające z pełnienia roli opiekuna faktycznego; lub</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ukończone minimum 60-godzinne szkolenie asystenckie.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076CBC" w:rsidP="00AF4B2A">
            <w:pPr>
              <w:spacing w:before="60" w:after="60"/>
              <w:jc w:val="center"/>
              <w:rPr>
                <w:rFonts w:eastAsia="Times New Roman" w:cs="Arial"/>
                <w:color w:val="000000"/>
                <w:sz w:val="24"/>
                <w:szCs w:val="24"/>
                <w:lang w:eastAsia="pl-PL"/>
              </w:rPr>
            </w:pPr>
            <w:r>
              <w:rPr>
                <w:rFonts w:eastAsia="Times New Roman" w:cs="Arial"/>
                <w:color w:val="000000"/>
                <w:sz w:val="24"/>
                <w:szCs w:val="24"/>
                <w:lang w:eastAsia="pl-PL"/>
              </w:rPr>
              <w:t>30</w:t>
            </w:r>
            <w:r w:rsidRPr="001B658C">
              <w:rPr>
                <w:rFonts w:eastAsia="Times New Roman" w:cs="Arial"/>
                <w:color w:val="000000"/>
                <w:sz w:val="24"/>
                <w:szCs w:val="24"/>
                <w:lang w:eastAsia="pl-PL"/>
              </w:rPr>
              <w:t xml:space="preserve"> </w:t>
            </w:r>
            <w:r w:rsidR="00AF4B2A" w:rsidRPr="001B658C">
              <w:rPr>
                <w:rFonts w:eastAsia="Times New Roman" w:cs="Arial"/>
                <w:color w:val="000000"/>
                <w:sz w:val="24"/>
                <w:szCs w:val="24"/>
                <w:lang w:eastAsia="pl-PL"/>
              </w:rPr>
              <w:t>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psychoterapeuta posiada:</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wyższe o kierunku medycznym, społecznym lub humanistycznym oraz</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certyfikat/akredytację potwierdzające posiadanie uprawnień do wykonywania zawodu psychoterapeuty oraz</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rok.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805948" w:rsidP="00AF4B2A">
            <w:pPr>
              <w:numPr>
                <w:ilvl w:val="0"/>
                <w:numId w:val="39"/>
              </w:numPr>
              <w:suppressAutoHyphens/>
              <w:spacing w:after="0" w:line="276" w:lineRule="auto"/>
              <w:rPr>
                <w:rFonts w:eastAsia="Times New Roman" w:cs="Arial"/>
                <w:sz w:val="24"/>
                <w:szCs w:val="24"/>
                <w:lang w:eastAsia="pl-PL"/>
              </w:rPr>
            </w:pPr>
            <w:r w:rsidRPr="00805948">
              <w:rPr>
                <w:rFonts w:eastAsia="Times New Roman" w:cs="Arial"/>
                <w:sz w:val="24"/>
                <w:szCs w:val="24"/>
                <w:lang w:eastAsia="pl-PL"/>
              </w:rPr>
              <w:t xml:space="preserve">Wydatek kwalifikowalny pod warunkiem ukończenia kształcenie w zawodzie asystenta osoby niepełnosprawnej zgodnie </w:t>
            </w:r>
            <w:r w:rsidRPr="00805948">
              <w:rPr>
                <w:rFonts w:eastAsia="Times New Roman" w:cs="Arial"/>
                <w:sz w:val="24"/>
                <w:szCs w:val="24"/>
                <w:lang w:eastAsia="pl-PL"/>
              </w:rPr>
              <w:lastRenderedPageBreak/>
              <w:t>z rozporządzeniem Ministra Edukacji Narodowej z dnia 7 lutego 2012 r. w sprawie podstawy programowej kształcenia w zawodach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3</w:t>
            </w:r>
            <w:r w:rsidR="00076CBC">
              <w:rPr>
                <w:rFonts w:eastAsia="Times New Roman" w:cs="Arial"/>
                <w:sz w:val="24"/>
                <w:szCs w:val="24"/>
                <w:lang w:eastAsia="pl-PL"/>
              </w:rPr>
              <w:t>5</w:t>
            </w:r>
            <w:r w:rsidRPr="001B658C">
              <w:rPr>
                <w:rFonts w:eastAsia="Times New Roman" w:cs="Arial"/>
                <w:sz w:val="24"/>
                <w:szCs w:val="24"/>
                <w:lang w:eastAsia="pl-PL"/>
              </w:rPr>
              <w:t xml:space="preserve"> zł</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32" w:name="_Toc508113453"/>
      <w:bookmarkStart w:id="33" w:name="_Toc22808895"/>
      <w:r w:rsidRPr="007271CE">
        <w:rPr>
          <w:b/>
          <w:color w:val="auto"/>
        </w:rPr>
        <w:t>VI</w:t>
      </w:r>
      <w:r>
        <w:rPr>
          <w:b/>
          <w:color w:val="auto"/>
        </w:rPr>
        <w:t>I</w:t>
      </w:r>
      <w:r w:rsidRPr="007271CE">
        <w:rPr>
          <w:b/>
          <w:color w:val="auto"/>
        </w:rPr>
        <w:t>.2.</w:t>
      </w:r>
      <w:r w:rsidRPr="007271CE">
        <w:rPr>
          <w:b/>
          <w:color w:val="auto"/>
        </w:rPr>
        <w:tab/>
        <w:t>Towary i usługi</w:t>
      </w:r>
      <w:bookmarkEnd w:id="32"/>
      <w:bookmarkEnd w:id="33"/>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 xml:space="preserve">cena rynkowa powinna być uzależniona od rodzaju oferowanej </w:t>
            </w:r>
            <w:r w:rsidRPr="001B658C">
              <w:rPr>
                <w:rFonts w:eastAsia="Times New Roman" w:cs="Arial"/>
                <w:sz w:val="24"/>
                <w:szCs w:val="24"/>
                <w:lang w:eastAsia="pl-PL"/>
              </w:rPr>
              <w:lastRenderedPageBreak/>
              <w:t>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W przypadku, gdy wsparcie dla tej samej grupy osób w danym dniu </w:t>
            </w:r>
            <w:r w:rsidRPr="00A82B63">
              <w:rPr>
                <w:rFonts w:eastAsia="Times New Roman" w:cs="Arial"/>
                <w:sz w:val="24"/>
                <w:szCs w:val="24"/>
                <w:lang w:eastAsia="pl-PL"/>
              </w:rPr>
              <w:lastRenderedPageBreak/>
              <w:t>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 xml:space="preserve">koszt obejmuje salę wyposażoną zgodnie z potrzebami projektu, m.in. w stoły, krzesła, rzutnik multimedialny z ekranem, min. 12 stanowisk komputerowych, tablice flipchart lub tablice </w:t>
            </w:r>
            <w:proofErr w:type="spellStart"/>
            <w:r w:rsidRPr="004D77E1">
              <w:rPr>
                <w:rFonts w:eastAsia="Times New Roman" w:cs="Arial"/>
                <w:sz w:val="24"/>
                <w:szCs w:val="24"/>
                <w:lang w:eastAsia="pl-PL"/>
              </w:rPr>
              <w:t>suchościeralne</w:t>
            </w:r>
            <w:proofErr w:type="spellEnd"/>
            <w:r w:rsidRPr="004D77E1">
              <w:rPr>
                <w:rFonts w:eastAsia="Times New Roman" w:cs="Arial"/>
                <w:sz w:val="24"/>
                <w:szCs w:val="24"/>
                <w:lang w:eastAsia="pl-PL"/>
              </w:rPr>
              <w:t>,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dotyczy wynajmu sali na szkolenia specjalistyczne wymagające określonego typu sprzętu, min. 12 stanowisk komputerowych (cena powinna być </w:t>
            </w:r>
            <w:r w:rsidRPr="009538DB">
              <w:rPr>
                <w:rFonts w:eastAsia="Times New Roman" w:cs="Arial"/>
                <w:sz w:val="24"/>
                <w:szCs w:val="24"/>
                <w:lang w:eastAsia="pl-PL"/>
              </w:rPr>
              <w:lastRenderedPageBreak/>
              <w:t>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potrzebami projektu, m.in. 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w:t>
            </w:r>
            <w:r w:rsidRPr="009538DB">
              <w:rPr>
                <w:rFonts w:eastAsia="Times New Roman" w:cs="Arial"/>
                <w:sz w:val="24"/>
                <w:szCs w:val="24"/>
                <w:lang w:eastAsia="pl-PL"/>
              </w:rPr>
              <w:lastRenderedPageBreak/>
              <w:t>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w:t>
            </w:r>
            <w:r w:rsidRPr="009538DB">
              <w:rPr>
                <w:rFonts w:eastAsia="Times New Roman" w:cs="Arial"/>
                <w:color w:val="000000"/>
                <w:sz w:val="24"/>
                <w:szCs w:val="24"/>
                <w:lang w:eastAsia="pl-PL"/>
              </w:rPr>
              <w:lastRenderedPageBreak/>
              <w:t>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lastRenderedPageBreak/>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5"/>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r w:rsidRPr="00CE19C4">
              <w:rPr>
                <w:rFonts w:eastAsia="Times New Roman" w:cs="Arial"/>
                <w:i/>
                <w:color w:val="000000"/>
                <w:sz w:val="24"/>
                <w:szCs w:val="24"/>
                <w:lang w:eastAsia="pl-PL"/>
              </w:rPr>
              <w:t xml:space="preserve"> </w:t>
            </w:r>
          </w:p>
          <w:p w:rsidR="004656E0" w:rsidRPr="009538DB" w:rsidRDefault="00CE19C4"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2 300 zł</w:t>
            </w:r>
          </w:p>
          <w:p w:rsidR="004656E0" w:rsidRPr="001B658C" w:rsidRDefault="004656E0" w:rsidP="00F27A2F">
            <w:pPr>
              <w:spacing w:after="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p>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t>2 500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zgodnie i na zasadach z pkt 3,4,5 podrozdziału 6.12.1 Wytycznych w zakresie kwalifikowalności wydatków </w:t>
            </w:r>
          </w:p>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godzin na dobę i 40 godzin tygodniowo, a w </w:t>
            </w:r>
            <w:r w:rsidRPr="001B658C">
              <w:rPr>
                <w:rFonts w:eastAsia="Times New Roman" w:cs="Arial"/>
                <w:color w:val="000000"/>
                <w:sz w:val="24"/>
                <w:szCs w:val="24"/>
                <w:lang w:eastAsia="pl-PL"/>
              </w:rPr>
              <w:lastRenderedPageBreak/>
              <w:t>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 xml:space="preserve">W okresie odbywania stażu stażyście przysługuje stypendium stażowe, które miesięcznie  </w:t>
            </w:r>
            <w:r w:rsidRPr="001B658C">
              <w:rPr>
                <w:rFonts w:eastAsia="Times New Roman" w:cs="Arial"/>
                <w:sz w:val="24"/>
                <w:szCs w:val="24"/>
                <w:lang w:eastAsia="pl-PL"/>
              </w:rPr>
              <w:lastRenderedPageBreak/>
              <w:t xml:space="preserve">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745DD4" w:rsidRPr="007F57A4" w:rsidRDefault="00745DD4" w:rsidP="00745D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w</w:t>
            </w:r>
            <w:r w:rsidRPr="000C1930">
              <w:rPr>
                <w:rFonts w:ascii="Calibri" w:hAnsi="Calibri"/>
                <w:sz w:val="24"/>
                <w:szCs w:val="24"/>
              </w:rPr>
              <w:t>ydatki mogą być ponoszone wyłącznie przez beneficjenta w uzgodnieniu z podmiotem przyjmującym na staż. Tym samym, nie ma możliwości dokonywania przez beneficjenta refundacji ww. wydatków podmiotowi przyjmującemu na staż.</w:t>
            </w:r>
          </w:p>
          <w:p w:rsidR="00C06C56" w:rsidRDefault="00C06C56" w:rsidP="00B83228">
            <w:pPr>
              <w:tabs>
                <w:tab w:val="left" w:pos="361"/>
              </w:tabs>
              <w:suppressAutoHyphens/>
              <w:spacing w:after="0" w:line="276" w:lineRule="auto"/>
              <w:ind w:left="33"/>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lastRenderedPageBreak/>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9"/>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t>
            </w:r>
            <w:r w:rsidRPr="00855FFC">
              <w:rPr>
                <w:sz w:val="24"/>
                <w:szCs w:val="24"/>
              </w:rPr>
              <w:lastRenderedPageBreak/>
              <w:t>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34" w:name="_Toc508113454"/>
      <w:bookmarkStart w:id="35" w:name="_Toc22808896"/>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34"/>
      <w:bookmarkEnd w:id="35"/>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0"/>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lastRenderedPageBreak/>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lastRenderedPageBreak/>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36" w:name="_Toc472590491"/>
      <w:bookmarkStart w:id="37" w:name="_Toc472590676"/>
      <w:bookmarkStart w:id="38" w:name="_Toc472591169"/>
      <w:bookmarkStart w:id="39" w:name="_Toc472591291"/>
      <w:bookmarkStart w:id="40" w:name="_Toc472591395"/>
      <w:bookmarkStart w:id="41" w:name="_Toc472591515"/>
      <w:bookmarkStart w:id="42" w:name="_Toc472591546"/>
      <w:bookmarkStart w:id="43" w:name="_Toc472591663"/>
      <w:bookmarkStart w:id="44" w:name="_Toc472591830"/>
      <w:bookmarkStart w:id="45" w:name="_Toc472591983"/>
      <w:bookmarkStart w:id="46" w:name="_Toc472592310"/>
      <w:bookmarkStart w:id="47" w:name="_Toc473010468"/>
      <w:bookmarkStart w:id="48" w:name="_Toc473193640"/>
      <w:bookmarkStart w:id="49" w:name="_Toc477160773"/>
      <w:bookmarkStart w:id="50" w:name="_Toc477516109"/>
      <w:bookmarkStart w:id="51" w:name="_Toc477516127"/>
      <w:bookmarkStart w:id="52" w:name="_Toc477858842"/>
      <w:bookmarkStart w:id="53" w:name="_Toc477860592"/>
      <w:bookmarkStart w:id="54" w:name="_Toc477875049"/>
      <w:bookmarkStart w:id="55" w:name="_Toc472590492"/>
      <w:bookmarkStart w:id="56" w:name="_Toc472590677"/>
      <w:bookmarkStart w:id="57" w:name="_Toc472591170"/>
      <w:bookmarkStart w:id="58" w:name="_Toc472591292"/>
      <w:bookmarkStart w:id="59" w:name="_Toc472591396"/>
      <w:bookmarkStart w:id="60" w:name="_Toc472591516"/>
      <w:bookmarkStart w:id="61" w:name="_Toc472591547"/>
      <w:bookmarkStart w:id="62" w:name="_Toc472591664"/>
      <w:bookmarkStart w:id="63" w:name="_Toc472591831"/>
      <w:bookmarkStart w:id="64" w:name="_Toc472591984"/>
      <w:bookmarkStart w:id="65" w:name="_Toc472592311"/>
      <w:bookmarkStart w:id="66" w:name="_Toc473010469"/>
      <w:bookmarkStart w:id="67" w:name="_Toc473193641"/>
      <w:bookmarkStart w:id="68" w:name="_Toc477160774"/>
      <w:bookmarkStart w:id="69" w:name="_Toc477516110"/>
      <w:bookmarkStart w:id="70" w:name="_Toc477516128"/>
      <w:bookmarkStart w:id="71" w:name="_Toc477858843"/>
      <w:bookmarkStart w:id="72" w:name="_Toc477860593"/>
      <w:bookmarkStart w:id="73" w:name="_Toc47787505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FAC" w:rsidRDefault="004B0FAC" w:rsidP="00FC65E2">
      <w:pPr>
        <w:spacing w:after="0" w:line="240" w:lineRule="auto"/>
      </w:pPr>
      <w:r>
        <w:separator/>
      </w:r>
    </w:p>
  </w:endnote>
  <w:endnote w:type="continuationSeparator" w:id="0">
    <w:p w:rsidR="004B0FAC" w:rsidRDefault="004B0FAC"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AC" w:rsidRPr="00E00F11" w:rsidRDefault="004B0FAC">
    <w:pPr>
      <w:pStyle w:val="Stopka"/>
      <w:rPr>
        <w:sz w:val="24"/>
        <w:szCs w:val="24"/>
      </w:rPr>
    </w:pPr>
    <w:r w:rsidRPr="00E00F11">
      <w:rPr>
        <w:sz w:val="24"/>
        <w:szCs w:val="24"/>
      </w:rPr>
      <w:t xml:space="preserve">Konkurs nr </w:t>
    </w:r>
    <w:r>
      <w:rPr>
        <w:b/>
        <w:sz w:val="24"/>
        <w:szCs w:val="24"/>
      </w:rPr>
      <w:t>RPLD.09.01.03-IP.01-10-001/19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FAC" w:rsidRDefault="004B0FAC" w:rsidP="00FC65E2">
      <w:pPr>
        <w:spacing w:after="0" w:line="240" w:lineRule="auto"/>
      </w:pPr>
      <w:r>
        <w:separator/>
      </w:r>
    </w:p>
  </w:footnote>
  <w:footnote w:type="continuationSeparator" w:id="0">
    <w:p w:rsidR="004B0FAC" w:rsidRDefault="004B0FAC" w:rsidP="00FC65E2">
      <w:pPr>
        <w:spacing w:after="0" w:line="240" w:lineRule="auto"/>
      </w:pPr>
      <w:r>
        <w:continuationSeparator/>
      </w:r>
    </w:p>
  </w:footnote>
  <w:footnote w:id="1">
    <w:p w:rsidR="004B0FAC" w:rsidRPr="004C3325" w:rsidRDefault="004B0FAC"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4B0FAC" w:rsidRDefault="004B0FAC"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3">
    <w:p w:rsidR="004B0FAC" w:rsidRDefault="004B0FAC"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4">
    <w:p w:rsidR="004B0FAC" w:rsidRDefault="004B0FAC"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5">
    <w:p w:rsidR="004B0FAC" w:rsidRPr="00D6358C" w:rsidRDefault="004B0FA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6">
    <w:p w:rsidR="004B0FAC" w:rsidRPr="00D6358C" w:rsidRDefault="004B0FA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4B0FAC" w:rsidRPr="00D6358C" w:rsidRDefault="004B0FAC"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4B0FAC" w:rsidRPr="009440C0" w:rsidRDefault="004B0FAC"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4B0FAC" w:rsidRDefault="004B0FAC" w:rsidP="00417016">
      <w:pPr>
        <w:pStyle w:val="Tekstprzypisudolnego"/>
      </w:pPr>
    </w:p>
  </w:footnote>
  <w:footnote w:id="9">
    <w:p w:rsidR="004B0FAC" w:rsidRDefault="004B0FAC" w:rsidP="004656E0">
      <w:pPr>
        <w:pStyle w:val="Tekstprzypisudolnego"/>
      </w:pPr>
      <w:r>
        <w:rPr>
          <w:rStyle w:val="Odwoanieprzypisudolnego"/>
        </w:rPr>
        <w:t>*</w:t>
      </w:r>
      <w:r w:rsidRPr="003722CF">
        <w:t>W ramach wynagrodzenia opiekuna stażysty do w/w kwot należy doliczyć koszty pracodawcy</w:t>
      </w:r>
      <w:r>
        <w:t>.</w:t>
      </w:r>
    </w:p>
  </w:footnote>
  <w:footnote w:id="10">
    <w:p w:rsidR="004B0FAC" w:rsidRDefault="004B0FAC"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AC" w:rsidRDefault="004B0FAC" w:rsidP="0029442F">
    <w:pPr>
      <w:pStyle w:val="Nagwek"/>
    </w:pPr>
    <w:sdt>
      <w:sdtPr>
        <w:rPr>
          <w:rFonts w:ascii="Calibri" w:hAnsi="Calibri"/>
          <w:b/>
        </w:rPr>
        <w:id w:val="126210202"/>
        <w:docPartObj>
          <w:docPartGallery w:val="Page Numbers (Margins)"/>
          <w:docPartUnique/>
        </w:docPartObj>
      </w:sdtPr>
      <w:sdtContent>
        <w:r>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FAC" w:rsidRDefault="004B0F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GWdG&#10;dLSiLRH08Pzrp2dZmE9vXU5tj3aLQaGzDyCfHTNw1wizU7eI0DdKVMQqDf3JqwshcHSVlf0XqAhe&#10;7D3EUQ01dgGQhsCGuJHjeSNq8ExScjHLllcLziSVsvR6ls7iyhKRv9y26PwnBR0LHwVH2nhEF4cH&#10;5wMbkb+0hMcMbHTbxq235lWCGkMmsg+ER+F+KIfTDEqojqQDYTQRmZ4+wpktyVk9eajg7sdeoOKs&#10;/WxoHB/T+TyYLgbzxTKjAC8r5WVFGNkAWVN65GwM7vxo1b1FvWvouTRqc/aWhrjRUV8Y8EjtRJ6c&#10;EmWfXB2seBnHrj//3vo3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qZFX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rsidR="004B0FAC" w:rsidRDefault="004B0F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4B0FAC" w:rsidRDefault="004B0F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AC" w:rsidRDefault="004B0FAC">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4B0FAC" w:rsidRDefault="004B0FAC">
    <w:pPr>
      <w:pStyle w:val="Nagwek"/>
      <w:rPr>
        <w:rFonts w:ascii="Calibri" w:hAnsi="Calibri"/>
        <w:b/>
      </w:rPr>
    </w:pPr>
  </w:p>
  <w:p w:rsidR="004B0FAC" w:rsidRDefault="004B0FAC">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E269FB"/>
    <w:multiLevelType w:val="multilevel"/>
    <w:tmpl w:val="969A0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666B96"/>
    <w:multiLevelType w:val="multilevel"/>
    <w:tmpl w:val="4364CB1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39"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15:restartNumberingAfterBreak="0">
    <w:nsid w:val="386A0A4E"/>
    <w:multiLevelType w:val="hybridMultilevel"/>
    <w:tmpl w:val="20BAED78"/>
    <w:lvl w:ilvl="0" w:tplc="7124D1B2">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4"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3"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7"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9"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2"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4"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5"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8"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80"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81"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E25546"/>
    <w:multiLevelType w:val="multilevel"/>
    <w:tmpl w:val="079E760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3"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75"/>
  </w:num>
  <w:num w:numId="5">
    <w:abstractNumId w:val="39"/>
  </w:num>
  <w:num w:numId="6">
    <w:abstractNumId w:val="32"/>
  </w:num>
  <w:num w:numId="7">
    <w:abstractNumId w:val="46"/>
  </w:num>
  <w:num w:numId="8">
    <w:abstractNumId w:val="0"/>
  </w:num>
  <w:num w:numId="9">
    <w:abstractNumId w:val="11"/>
  </w:num>
  <w:num w:numId="10">
    <w:abstractNumId w:val="25"/>
  </w:num>
  <w:num w:numId="11">
    <w:abstractNumId w:val="45"/>
  </w:num>
  <w:num w:numId="12">
    <w:abstractNumId w:val="60"/>
  </w:num>
  <w:num w:numId="13">
    <w:abstractNumId w:val="26"/>
  </w:num>
  <w:num w:numId="14">
    <w:abstractNumId w:val="78"/>
  </w:num>
  <w:num w:numId="15">
    <w:abstractNumId w:val="2"/>
  </w:num>
  <w:num w:numId="16">
    <w:abstractNumId w:val="3"/>
  </w:num>
  <w:num w:numId="17">
    <w:abstractNumId w:val="28"/>
  </w:num>
  <w:num w:numId="18">
    <w:abstractNumId w:val="54"/>
  </w:num>
  <w:num w:numId="19">
    <w:abstractNumId w:val="77"/>
  </w:num>
  <w:num w:numId="20">
    <w:abstractNumId w:val="8"/>
  </w:num>
  <w:num w:numId="21">
    <w:abstractNumId w:val="66"/>
  </w:num>
  <w:num w:numId="22">
    <w:abstractNumId w:val="17"/>
  </w:num>
  <w:num w:numId="23">
    <w:abstractNumId w:val="23"/>
  </w:num>
  <w:num w:numId="24">
    <w:abstractNumId w:val="53"/>
  </w:num>
  <w:num w:numId="25">
    <w:abstractNumId w:val="59"/>
  </w:num>
  <w:num w:numId="26">
    <w:abstractNumId w:val="5"/>
  </w:num>
  <w:num w:numId="27">
    <w:abstractNumId w:val="20"/>
  </w:num>
  <w:num w:numId="28">
    <w:abstractNumId w:val="14"/>
  </w:num>
  <w:num w:numId="29">
    <w:abstractNumId w:val="71"/>
  </w:num>
  <w:num w:numId="30">
    <w:abstractNumId w:val="74"/>
  </w:num>
  <w:num w:numId="31">
    <w:abstractNumId w:val="84"/>
  </w:num>
  <w:num w:numId="32">
    <w:abstractNumId w:val="84"/>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7"/>
  </w:num>
  <w:num w:numId="38">
    <w:abstractNumId w:val="40"/>
  </w:num>
  <w:num w:numId="39">
    <w:abstractNumId w:val="10"/>
  </w:num>
  <w:num w:numId="40">
    <w:abstractNumId w:val="34"/>
  </w:num>
  <w:num w:numId="41">
    <w:abstractNumId w:val="16"/>
  </w:num>
  <w:num w:numId="42">
    <w:abstractNumId w:val="83"/>
  </w:num>
  <w:num w:numId="43">
    <w:abstractNumId w:val="56"/>
  </w:num>
  <w:num w:numId="44">
    <w:abstractNumId w:val="24"/>
  </w:num>
  <w:num w:numId="45">
    <w:abstractNumId w:val="58"/>
  </w:num>
  <w:num w:numId="46">
    <w:abstractNumId w:val="33"/>
  </w:num>
  <w:num w:numId="47">
    <w:abstractNumId w:val="69"/>
  </w:num>
  <w:num w:numId="48">
    <w:abstractNumId w:val="70"/>
  </w:num>
  <w:num w:numId="49">
    <w:abstractNumId w:val="44"/>
  </w:num>
  <w:num w:numId="50">
    <w:abstractNumId w:val="50"/>
  </w:num>
  <w:num w:numId="51">
    <w:abstractNumId w:val="13"/>
  </w:num>
  <w:num w:numId="52">
    <w:abstractNumId w:val="31"/>
  </w:num>
  <w:num w:numId="53">
    <w:abstractNumId w:val="52"/>
  </w:num>
  <w:num w:numId="54">
    <w:abstractNumId w:val="48"/>
  </w:num>
  <w:num w:numId="55">
    <w:abstractNumId w:val="68"/>
  </w:num>
  <w:num w:numId="56">
    <w:abstractNumId w:val="42"/>
  </w:num>
  <w:num w:numId="57">
    <w:abstractNumId w:val="19"/>
  </w:num>
  <w:num w:numId="58">
    <w:abstractNumId w:val="57"/>
  </w:num>
  <w:num w:numId="59">
    <w:abstractNumId w:val="30"/>
  </w:num>
  <w:num w:numId="60">
    <w:abstractNumId w:val="21"/>
  </w:num>
  <w:num w:numId="61">
    <w:abstractNumId w:val="49"/>
  </w:num>
  <w:num w:numId="62">
    <w:abstractNumId w:val="76"/>
  </w:num>
  <w:num w:numId="63">
    <w:abstractNumId w:val="61"/>
  </w:num>
  <w:num w:numId="64">
    <w:abstractNumId w:val="72"/>
  </w:num>
  <w:num w:numId="65">
    <w:abstractNumId w:val="22"/>
  </w:num>
  <w:num w:numId="66">
    <w:abstractNumId w:val="73"/>
  </w:num>
  <w:num w:numId="67">
    <w:abstractNumId w:val="80"/>
  </w:num>
  <w:num w:numId="68">
    <w:abstractNumId w:val="63"/>
  </w:num>
  <w:num w:numId="69">
    <w:abstractNumId w:val="85"/>
  </w:num>
  <w:num w:numId="70">
    <w:abstractNumId w:val="41"/>
  </w:num>
  <w:num w:numId="71">
    <w:abstractNumId w:val="36"/>
  </w:num>
  <w:num w:numId="72">
    <w:abstractNumId w:val="65"/>
  </w:num>
  <w:num w:numId="73">
    <w:abstractNumId w:val="12"/>
  </w:num>
  <w:num w:numId="74">
    <w:abstractNumId w:val="64"/>
  </w:num>
  <w:num w:numId="75">
    <w:abstractNumId w:val="47"/>
  </w:num>
  <w:num w:numId="76">
    <w:abstractNumId w:val="79"/>
  </w:num>
  <w:num w:numId="77">
    <w:abstractNumId w:val="29"/>
  </w:num>
  <w:num w:numId="78">
    <w:abstractNumId w:val="18"/>
  </w:num>
  <w:num w:numId="7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num>
  <w:num w:numId="81">
    <w:abstractNumId w:val="35"/>
  </w:num>
  <w:num w:numId="82">
    <w:abstractNumId w:val="81"/>
  </w:num>
  <w:num w:numId="83">
    <w:abstractNumId w:val="82"/>
  </w:num>
  <w:num w:numId="84">
    <w:abstractNumId w:val="55"/>
  </w:num>
  <w:num w:numId="85">
    <w:abstractNumId w:val="15"/>
  </w:num>
  <w:num w:numId="86">
    <w:abstractNumId w:val="38"/>
  </w:num>
  <w:num w:numId="87">
    <w:abstractNumId w:val="86"/>
  </w:num>
  <w:num w:numId="88">
    <w:abstractNumId w:val="37"/>
  </w:num>
  <w:num w:numId="89">
    <w:abstractNumId w:val="27"/>
  </w:num>
  <w:num w:numId="90">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29D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433BA"/>
    <w:rsid w:val="00145E7D"/>
    <w:rsid w:val="00146727"/>
    <w:rsid w:val="00175A0C"/>
    <w:rsid w:val="001828A8"/>
    <w:rsid w:val="00187734"/>
    <w:rsid w:val="001B1287"/>
    <w:rsid w:val="001B1801"/>
    <w:rsid w:val="001B3CAF"/>
    <w:rsid w:val="001B417C"/>
    <w:rsid w:val="001B658C"/>
    <w:rsid w:val="001B7CD4"/>
    <w:rsid w:val="001C0379"/>
    <w:rsid w:val="001D051C"/>
    <w:rsid w:val="001D0594"/>
    <w:rsid w:val="001E5473"/>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C5520"/>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64CBC"/>
    <w:rsid w:val="004656E0"/>
    <w:rsid w:val="004762EF"/>
    <w:rsid w:val="00477AB7"/>
    <w:rsid w:val="0048254A"/>
    <w:rsid w:val="00495656"/>
    <w:rsid w:val="004965BB"/>
    <w:rsid w:val="00496CE4"/>
    <w:rsid w:val="004A3767"/>
    <w:rsid w:val="004A4C5C"/>
    <w:rsid w:val="004B0FA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1BCC"/>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5DD4"/>
    <w:rsid w:val="00747F71"/>
    <w:rsid w:val="00756B16"/>
    <w:rsid w:val="00761D02"/>
    <w:rsid w:val="0076224A"/>
    <w:rsid w:val="00763649"/>
    <w:rsid w:val="007673AE"/>
    <w:rsid w:val="007724DA"/>
    <w:rsid w:val="00773083"/>
    <w:rsid w:val="00776DC9"/>
    <w:rsid w:val="007857DC"/>
    <w:rsid w:val="00787F47"/>
    <w:rsid w:val="007A09F5"/>
    <w:rsid w:val="007B0C6D"/>
    <w:rsid w:val="007C0920"/>
    <w:rsid w:val="007C6214"/>
    <w:rsid w:val="007C6FEC"/>
    <w:rsid w:val="007D1DD2"/>
    <w:rsid w:val="007E2FA4"/>
    <w:rsid w:val="007E57A5"/>
    <w:rsid w:val="007E611C"/>
    <w:rsid w:val="00803986"/>
    <w:rsid w:val="00805948"/>
    <w:rsid w:val="00806138"/>
    <w:rsid w:val="008236B0"/>
    <w:rsid w:val="00823B7D"/>
    <w:rsid w:val="00827DF1"/>
    <w:rsid w:val="0084218A"/>
    <w:rsid w:val="00861EBF"/>
    <w:rsid w:val="00871975"/>
    <w:rsid w:val="00871D0B"/>
    <w:rsid w:val="00877C27"/>
    <w:rsid w:val="00881EB3"/>
    <w:rsid w:val="0088272F"/>
    <w:rsid w:val="00882FD7"/>
    <w:rsid w:val="008A4ED9"/>
    <w:rsid w:val="008B3A5F"/>
    <w:rsid w:val="008B7756"/>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2AC9"/>
    <w:rsid w:val="00A45485"/>
    <w:rsid w:val="00A605D0"/>
    <w:rsid w:val="00A63983"/>
    <w:rsid w:val="00A67787"/>
    <w:rsid w:val="00A738FC"/>
    <w:rsid w:val="00A809DA"/>
    <w:rsid w:val="00A82B63"/>
    <w:rsid w:val="00A83D09"/>
    <w:rsid w:val="00A9182C"/>
    <w:rsid w:val="00A939D2"/>
    <w:rsid w:val="00A95B97"/>
    <w:rsid w:val="00A96791"/>
    <w:rsid w:val="00AA0D53"/>
    <w:rsid w:val="00AB3722"/>
    <w:rsid w:val="00AB3F8E"/>
    <w:rsid w:val="00AC0EEB"/>
    <w:rsid w:val="00AC53A2"/>
    <w:rsid w:val="00AD65FC"/>
    <w:rsid w:val="00AF3BF5"/>
    <w:rsid w:val="00AF4B2A"/>
    <w:rsid w:val="00AF7065"/>
    <w:rsid w:val="00B16D3F"/>
    <w:rsid w:val="00B17141"/>
    <w:rsid w:val="00B1725B"/>
    <w:rsid w:val="00B3201F"/>
    <w:rsid w:val="00B3207C"/>
    <w:rsid w:val="00B32130"/>
    <w:rsid w:val="00B35845"/>
    <w:rsid w:val="00B3751C"/>
    <w:rsid w:val="00B519CE"/>
    <w:rsid w:val="00B530B5"/>
    <w:rsid w:val="00B561DD"/>
    <w:rsid w:val="00B70090"/>
    <w:rsid w:val="00B70C74"/>
    <w:rsid w:val="00B72134"/>
    <w:rsid w:val="00B72CFF"/>
    <w:rsid w:val="00B81290"/>
    <w:rsid w:val="00B81DAA"/>
    <w:rsid w:val="00B83228"/>
    <w:rsid w:val="00B8600E"/>
    <w:rsid w:val="00BA7C88"/>
    <w:rsid w:val="00BB3CB3"/>
    <w:rsid w:val="00BC4AFD"/>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A095C"/>
    <w:rsid w:val="00DA60ED"/>
    <w:rsid w:val="00DB7041"/>
    <w:rsid w:val="00DC1B7E"/>
    <w:rsid w:val="00DC4CDE"/>
    <w:rsid w:val="00DC69D3"/>
    <w:rsid w:val="00DC6C96"/>
    <w:rsid w:val="00DC7E53"/>
    <w:rsid w:val="00DF1316"/>
    <w:rsid w:val="00DF268B"/>
    <w:rsid w:val="00E00F11"/>
    <w:rsid w:val="00E01777"/>
    <w:rsid w:val="00E040DA"/>
    <w:rsid w:val="00E122D5"/>
    <w:rsid w:val="00E139B9"/>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C4D5E"/>
    <w:rsid w:val="00EC6F37"/>
    <w:rsid w:val="00ED1E33"/>
    <w:rsid w:val="00ED6172"/>
    <w:rsid w:val="00EE0A4B"/>
    <w:rsid w:val="00EF38C9"/>
    <w:rsid w:val="00F00A38"/>
    <w:rsid w:val="00F02D35"/>
    <w:rsid w:val="00F055F3"/>
    <w:rsid w:val="00F05C0E"/>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AEABC1"/>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styleId="Nierozpoznanawzmianka">
    <w:name w:val="Unresolved Mention"/>
    <w:basedOn w:val="Domylnaczcionkaakapitu"/>
    <w:uiPriority w:val="99"/>
    <w:semiHidden/>
    <w:unhideWhenUsed/>
    <w:rsid w:val="007C6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2804-B0AC-46E8-8262-4AFBBE6A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10829</Words>
  <Characters>64978</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2</cp:revision>
  <cp:lastPrinted>2019-01-21T12:23:00Z</cp:lastPrinted>
  <dcterms:created xsi:type="dcterms:W3CDTF">2019-10-24T09:29:00Z</dcterms:created>
  <dcterms:modified xsi:type="dcterms:W3CDTF">2019-10-24T09:29:00Z</dcterms:modified>
</cp:coreProperties>
</file>