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1F" w:rsidRDefault="00BC371F" w:rsidP="00BC371F"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Wzór karty oceny formalno-merytorycznej </w:t>
      </w:r>
    </w:p>
    <w:p w:rsidR="00BC371F" w:rsidRPr="00976544" w:rsidRDefault="00BC371F" w:rsidP="00BC371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71F" w:rsidRDefault="00BC371F" w:rsidP="00BC371F"/>
    <w:p w:rsidR="00BC371F" w:rsidRDefault="00F272DE" w:rsidP="00BC371F">
      <w:r>
        <w:t xml:space="preserve">         </w:t>
      </w:r>
      <w:r>
        <w:rPr>
          <w:noProof/>
          <w:lang w:eastAsia="pl-PL"/>
        </w:rPr>
        <w:drawing>
          <wp:inline distT="0" distB="0" distL="0" distR="0" wp14:anchorId="5A8AFF9C" wp14:editId="217CEA40">
            <wp:extent cx="5759450" cy="441325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2DE" w:rsidRDefault="00F272DE" w:rsidP="00BC371F"/>
    <w:p w:rsidR="00F272DE" w:rsidRDefault="00F272DE" w:rsidP="00BC371F"/>
    <w:p w:rsidR="00BC371F" w:rsidRDefault="00BC371F" w:rsidP="00BC371F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9F4E21">
        <w:rPr>
          <w:rFonts w:ascii="Calibri" w:hAnsi="Calibri" w:cs="Calibri"/>
          <w:position w:val="6"/>
        </w:rPr>
        <w:t xml:space="preserve"> </w:t>
      </w:r>
      <w:bookmarkStart w:id="0" w:name="_GoBack"/>
      <w:bookmarkEnd w:id="0"/>
      <w:r>
        <w:rPr>
          <w:rFonts w:ascii="Calibri" w:hAnsi="Calibri" w:cs="Calibri"/>
          <w:position w:val="6"/>
        </w:rPr>
        <w:t>EUROPEJSKI FUNDUSZ SPOŁECZNY</w:t>
      </w:r>
    </w:p>
    <w:p w:rsidR="00BC371F" w:rsidRDefault="00BC371F" w:rsidP="00BC371F">
      <w:pPr>
        <w:ind w:left="709" w:right="543"/>
      </w:pPr>
    </w:p>
    <w:p w:rsidR="00BC371F" w:rsidRDefault="00BC371F" w:rsidP="00BC371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BC371F" w:rsidRDefault="00BC371F" w:rsidP="00BC371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BC371F" w:rsidRDefault="00BC371F" w:rsidP="00BC371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Pr="00F25B31">
        <w:rPr>
          <w:rFonts w:ascii="Calibri" w:hAnsi="Calibri"/>
          <w:kern w:val="24"/>
          <w:sz w:val="22"/>
          <w:szCs w:val="22"/>
        </w:rPr>
        <w:t>Wojewódzki Urząd Pracy w Łodzi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Pr="00F25B31">
        <w:rPr>
          <w:rFonts w:ascii="Calibri" w:hAnsi="Calibri"/>
          <w:kern w:val="24"/>
          <w:sz w:val="22"/>
          <w:szCs w:val="22"/>
        </w:rPr>
        <w:t>RPLD.09.01.01-IP.01-10-00</w:t>
      </w:r>
      <w:r w:rsidR="00F25B31">
        <w:rPr>
          <w:rFonts w:ascii="Calibri" w:hAnsi="Calibri"/>
          <w:kern w:val="24"/>
          <w:sz w:val="22"/>
          <w:szCs w:val="22"/>
        </w:rPr>
        <w:t>4</w:t>
      </w:r>
      <w:r w:rsidRPr="00F25B31">
        <w:rPr>
          <w:rFonts w:ascii="Calibri" w:hAnsi="Calibri"/>
          <w:kern w:val="24"/>
          <w:sz w:val="22"/>
          <w:szCs w:val="22"/>
        </w:rPr>
        <w:t>/19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BC371F" w:rsidRDefault="00BC371F" w:rsidP="00BC371F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BC371F" w:rsidRPr="006B580F" w:rsidRDefault="00BC371F" w:rsidP="00BC371F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2"/>
        <w:gridCol w:w="1486"/>
        <w:gridCol w:w="672"/>
        <w:gridCol w:w="447"/>
        <w:gridCol w:w="1240"/>
        <w:gridCol w:w="407"/>
        <w:gridCol w:w="8"/>
        <w:gridCol w:w="278"/>
        <w:gridCol w:w="1157"/>
        <w:gridCol w:w="229"/>
        <w:gridCol w:w="3307"/>
      </w:tblGrid>
      <w:tr w:rsidR="00BC371F" w:rsidRPr="00BC1A06" w:rsidTr="00BC371F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371F" w:rsidRPr="00BC1A06" w:rsidTr="00F25B31">
        <w:trPr>
          <w:trHeight w:val="2858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371F" w:rsidRPr="00BC1A06" w:rsidRDefault="00BC371F" w:rsidP="00BC371F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371F" w:rsidRPr="00192996" w:rsidRDefault="00BC371F" w:rsidP="00BC371F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371F" w:rsidRPr="00BC1A06" w:rsidRDefault="00BC371F" w:rsidP="00F25B31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371F" w:rsidRPr="00BC1A06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371F" w:rsidRPr="00BC1A06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371F" w:rsidRPr="00BC1A06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371F" w:rsidRPr="00BC1A06" w:rsidTr="00BC371F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371F" w:rsidRPr="00D04BD3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371F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C371F" w:rsidRPr="00BC1A06" w:rsidRDefault="00BC371F" w:rsidP="00BC371F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</w:t>
            </w:r>
            <w:r w:rsidR="001321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BC371F" w:rsidRPr="00BC1A06" w:rsidTr="00BC371F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371F" w:rsidRPr="00BC1A06" w:rsidTr="00F25B31">
              <w:trPr>
                <w:trHeight w:val="848"/>
              </w:trPr>
              <w:tc>
                <w:tcPr>
                  <w:tcW w:w="0" w:type="auto"/>
                </w:tcPr>
                <w:p w:rsidR="00BC371F" w:rsidRPr="00BC1A06" w:rsidRDefault="00BC371F" w:rsidP="00BC371F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371F" w:rsidRPr="00BC1A06" w:rsidRDefault="00BC371F" w:rsidP="00BC371F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371F" w:rsidRPr="00BC1A06" w:rsidRDefault="00BC371F" w:rsidP="00BC371F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BC371F" w:rsidRPr="007B3756" w:rsidRDefault="00BC371F" w:rsidP="00F25B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7B37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7B37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BC371F" w:rsidRPr="00192996" w:rsidRDefault="00BC371F" w:rsidP="00F25B31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469" w:hanging="425"/>
              <w:jc w:val="both"/>
              <w:rPr>
                <w:b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F25B31">
        <w:trPr>
          <w:trHeight w:val="5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371F" w:rsidRPr="00BC1A06" w:rsidRDefault="00BC371F" w:rsidP="00F25B31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371F" w:rsidRPr="00BC1A06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371F" w:rsidRPr="00BC1A06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biuro projektu będzie oferowało możliwość udostępnienia pełnej dokumentacji wdrażanego projektu;</w:t>
            </w:r>
          </w:p>
          <w:p w:rsidR="00BC371F" w:rsidRPr="00BC1A06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371F" w:rsidRPr="00BC1A06" w:rsidRDefault="00BC371F" w:rsidP="00F25B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371F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BC371F" w:rsidRPr="00BC1A06" w:rsidRDefault="00BC371F" w:rsidP="00F25B31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71F" w:rsidRPr="00147FF2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:rsidR="00BC371F" w:rsidRPr="00147FF2" w:rsidRDefault="00BC371F" w:rsidP="00BC371F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:rsidR="00BC371F" w:rsidRPr="00147FF2" w:rsidRDefault="00BC371F" w:rsidP="00BC371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:rsidR="00BC371F" w:rsidRPr="00147FF2" w:rsidRDefault="00BC371F" w:rsidP="00BC371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:rsidR="00BC371F" w:rsidRPr="009B6A3A" w:rsidRDefault="00BC371F" w:rsidP="00BC371F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371F" w:rsidRPr="00BC1A06" w:rsidTr="00BC371F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371F" w:rsidRPr="00BC1A06" w:rsidRDefault="00BC371F" w:rsidP="00BC371F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371F" w:rsidRPr="00BC1A06" w:rsidRDefault="00BC371F" w:rsidP="00BC371F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371F" w:rsidRPr="00BC1A06" w:rsidRDefault="00BC371F" w:rsidP="00BC371F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371F" w:rsidRPr="00BC1A06" w:rsidRDefault="00BC371F" w:rsidP="00BC371F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371F" w:rsidRPr="00BC1A06" w:rsidTr="00BC371F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371F" w:rsidRPr="00BC1A06" w:rsidTr="00BC371F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371F" w:rsidRPr="00BC1A06" w:rsidTr="00BC371F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371F" w:rsidRPr="00BC1A06" w:rsidTr="00BC371F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371F" w:rsidRPr="00BC1A06" w:rsidTr="00BC371F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D57265" w:rsidRDefault="00BC371F" w:rsidP="00BC371F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D57265" w:rsidRDefault="00BC371F" w:rsidP="00BC371F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371F" w:rsidRPr="00BC1A06" w:rsidTr="00BC371F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sz w:val="22"/>
                <w:szCs w:val="22"/>
              </w:rPr>
            </w:r>
            <w:r w:rsidR="009F4E2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371F" w:rsidRPr="00BC1A06" w:rsidRDefault="00BC371F" w:rsidP="00BC371F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371F" w:rsidRPr="00BC1A06" w:rsidTr="00BC371F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9F4E21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371F" w:rsidRPr="00BC1A06" w:rsidTr="00BC371F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371F" w:rsidRPr="00BC1A06" w:rsidRDefault="00BC371F" w:rsidP="00BC371F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BC371F" w:rsidRDefault="00BC371F" w:rsidP="00BC371F">
      <w:pPr>
        <w:suppressAutoHyphens w:val="0"/>
        <w:spacing w:after="160" w:line="259" w:lineRule="auto"/>
      </w:pPr>
      <w:r>
        <w:br w:type="page"/>
      </w:r>
    </w:p>
    <w:p w:rsidR="00BC371F" w:rsidRDefault="00BC371F" w:rsidP="00BC371F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614"/>
        <w:gridCol w:w="101"/>
        <w:gridCol w:w="249"/>
        <w:gridCol w:w="2171"/>
        <w:gridCol w:w="332"/>
        <w:gridCol w:w="819"/>
        <w:gridCol w:w="1166"/>
        <w:gridCol w:w="636"/>
        <w:gridCol w:w="2619"/>
      </w:tblGrid>
      <w:tr w:rsidR="00BC371F" w:rsidRPr="006B580F" w:rsidTr="00BC371F">
        <w:trPr>
          <w:trHeight w:val="564"/>
        </w:trPr>
        <w:tc>
          <w:tcPr>
            <w:tcW w:w="1271" w:type="pct"/>
            <w:gridSpan w:val="3"/>
            <w:shd w:val="clear" w:color="auto" w:fill="D9D9D9"/>
            <w:vAlign w:val="center"/>
          </w:tcPr>
          <w:p w:rsidR="00BC371F" w:rsidRPr="006B580F" w:rsidRDefault="00BC371F" w:rsidP="00BC371F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9" w:type="pct"/>
            <w:gridSpan w:val="7"/>
            <w:shd w:val="clear" w:color="auto" w:fill="D9D9D9"/>
            <w:vAlign w:val="center"/>
          </w:tcPr>
          <w:p w:rsidR="00BC371F" w:rsidRPr="006B580F" w:rsidRDefault="00BC371F" w:rsidP="00BC371F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BC371F" w:rsidRPr="006B580F" w:rsidTr="00BC371F">
        <w:trPr>
          <w:trHeight w:val="127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C371F" w:rsidRPr="00DF55EE" w:rsidRDefault="00BC371F" w:rsidP="00F25B31">
            <w:pPr>
              <w:pStyle w:val="Akapitzlist"/>
              <w:numPr>
                <w:ilvl w:val="0"/>
                <w:numId w:val="11"/>
              </w:numPr>
              <w:spacing w:before="120" w:after="120"/>
              <w:ind w:left="313" w:hanging="313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Dany podmiot występuje tylko raz w ramach danego konkursu.</w:t>
            </w:r>
          </w:p>
          <w:p w:rsidR="00BC371F" w:rsidRPr="00192996" w:rsidRDefault="00BC371F" w:rsidP="00F25B31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ind w:left="31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36536">
              <w:rPr>
                <w:rFonts w:ascii="Calibri" w:hAnsi="Calibri" w:cs="Calibri"/>
                <w:color w:val="000000"/>
                <w:sz w:val="20"/>
                <w:szCs w:val="20"/>
              </w:rPr>
              <w:t>Kryterium odnosi się do występowania danego podmiotu w charakterze wnioskodawcy lub partnera w nie więcej niż jednym wniosku o dofinansowanie projek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 złożonym w ramach</w:t>
            </w:r>
            <w:r w:rsidRPr="00036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konkursu. W przypadku złożenia więcej niż jednego wniosku przez jeden podmiot występujący w charakterze wnioskodawcy lu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 partnera w ramach</w:t>
            </w:r>
            <w:r w:rsidRPr="00036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konkursu, IOK odrzuca wszystkie wnioski.</w:t>
            </w:r>
          </w:p>
        </w:tc>
      </w:tr>
      <w:tr w:rsidR="00BC371F" w:rsidRPr="006B580F" w:rsidTr="00547FDE">
        <w:trPr>
          <w:trHeight w:val="566"/>
        </w:trPr>
        <w:tc>
          <w:tcPr>
            <w:tcW w:w="2400" w:type="pct"/>
            <w:gridSpan w:val="5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0" w:type="pct"/>
            <w:gridSpan w:val="5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BC371F" w:rsidRDefault="00BC371F" w:rsidP="00F32C02">
            <w:pPr>
              <w:pStyle w:val="Akapitzlist"/>
              <w:numPr>
                <w:ilvl w:val="0"/>
                <w:numId w:val="11"/>
              </w:numPr>
              <w:spacing w:before="120" w:after="120"/>
              <w:ind w:left="454" w:hanging="425"/>
              <w:rPr>
                <w:rFonts w:eastAsia="Arial Unicode MS"/>
                <w:b/>
              </w:rPr>
            </w:pPr>
            <w:r w:rsidRPr="00BC371F">
              <w:rPr>
                <w:rFonts w:cs="Arial"/>
                <w:b/>
              </w:rPr>
              <w:t>Projekt wynika z obowiązującego i pozytywnie zweryfikowanego przez IZ RPO WŁ programu rewitalizacji (z wyłączeniem programu rewitalizacji dla miasta Łodzi).</w:t>
            </w:r>
          </w:p>
          <w:p w:rsidR="00BC371F" w:rsidRPr="00BC371F" w:rsidRDefault="00BC371F" w:rsidP="00F25B31">
            <w:pPr>
              <w:spacing w:before="120" w:after="120"/>
              <w:ind w:left="31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371F">
              <w:rPr>
                <w:rFonts w:asciiTheme="minorHAnsi" w:eastAsia="Calibri" w:hAnsiTheme="minorHAnsi" w:cstheme="minorHAnsi"/>
                <w:sz w:val="20"/>
                <w:szCs w:val="20"/>
              </w:rPr>
              <w:t>Projekt wynika z obowiązujących (na dzień składania wniosku o dofinansowanie) programów rewitalizacji znajdujących się w wykazie prowadzonym przez IZ RPO WŁ 2014-2020 (www.rpo.lodzkie.pl w zakładce „O programie/rewitalizacja”) z wyłączeniem programu rewitalizacji dla miasta Łodzi.</w:t>
            </w:r>
          </w:p>
          <w:p w:rsidR="00BC371F" w:rsidRPr="00BC371F" w:rsidRDefault="00BC371F" w:rsidP="00F25B31">
            <w:pPr>
              <w:spacing w:before="120" w:after="120"/>
              <w:ind w:left="31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371F">
              <w:rPr>
                <w:rFonts w:asciiTheme="minorHAnsi" w:eastAsia="Calibri" w:hAnsiTheme="minorHAnsi" w:cstheme="minorHAnsi"/>
                <w:sz w:val="20"/>
                <w:szCs w:val="20"/>
              </w:rPr>
              <w:t>Wynikanie projektu z danego programu rewitalizacji oznacza albo wymienienie go wprost w programie rewitalizacji, albo określenie go w ogólnym (zbiorczym) opisie innych, uzupełniających rodzajów działań rewitalizacyjnych.</w:t>
            </w:r>
          </w:p>
          <w:p w:rsidR="00BC371F" w:rsidRPr="00BC371F" w:rsidRDefault="00BC371F" w:rsidP="00F25B31">
            <w:pPr>
              <w:spacing w:before="120" w:after="120"/>
              <w:ind w:left="31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371F">
              <w:rPr>
                <w:rFonts w:asciiTheme="minorHAnsi" w:eastAsia="Calibri" w:hAnsiTheme="minorHAnsi" w:cstheme="minorHAnsi"/>
                <w:sz w:val="20"/>
                <w:szCs w:val="20"/>
              </w:rPr>
              <w:t>Projekt rewitalizacyjny musi być realizowany na obszarze rewitalizacji określonym w danym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żaniem procesu rewitalizacji.</w:t>
            </w:r>
          </w:p>
        </w:tc>
      </w:tr>
      <w:tr w:rsidR="00132131" w:rsidRPr="006B580F" w:rsidTr="000F7687">
        <w:trPr>
          <w:trHeight w:val="444"/>
        </w:trPr>
        <w:tc>
          <w:tcPr>
            <w:tcW w:w="1224" w:type="pct"/>
            <w:gridSpan w:val="2"/>
            <w:shd w:val="clear" w:color="auto" w:fill="FFFFFF"/>
            <w:vAlign w:val="center"/>
          </w:tcPr>
          <w:p w:rsidR="00132131" w:rsidRPr="00F23FAA" w:rsidRDefault="00132131" w:rsidP="00132131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331" w:type="pct"/>
            <w:gridSpan w:val="4"/>
            <w:shd w:val="clear" w:color="auto" w:fill="FFFFFF"/>
            <w:vAlign w:val="center"/>
          </w:tcPr>
          <w:p w:rsidR="00132131" w:rsidRPr="00F23FAA" w:rsidRDefault="00132131" w:rsidP="00132131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132131" w:rsidRPr="00F23FAA" w:rsidRDefault="00132131" w:rsidP="00132131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F25B31">
        <w:trPr>
          <w:trHeight w:val="138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FDE" w:rsidRPr="00547FDE" w:rsidRDefault="00547FDE" w:rsidP="00F32C0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454" w:hanging="454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547FDE">
              <w:rPr>
                <w:rFonts w:cs="Arial"/>
                <w:b/>
              </w:rPr>
              <w:t>Projekty OPS, PCPR – wyłączenie.</w:t>
            </w:r>
          </w:p>
          <w:p w:rsidR="00BC371F" w:rsidRPr="00547FDE" w:rsidRDefault="00547FDE" w:rsidP="00F25B31">
            <w:pPr>
              <w:autoSpaceDE w:val="0"/>
              <w:autoSpaceDN w:val="0"/>
              <w:adjustRightInd w:val="0"/>
              <w:spacing w:before="120"/>
              <w:ind w:left="45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FDE">
              <w:rPr>
                <w:rFonts w:asciiTheme="minorHAnsi" w:eastAsia="Calibri" w:hAnsiTheme="minorHAnsi" w:cstheme="minorHAnsi"/>
                <w:sz w:val="20"/>
                <w:szCs w:val="20"/>
              </w:rPr>
              <w:t>W przedmiotowym konkursie wyklucza się możliwość składania wniosków o dofinansowanie, w których wnioskodawcą jest jednostka pomocy społecznej (OPS, PCPR). Kryterium w przedmiotowym brzmieniu nie odnosi się do występowania OPS, PCPR w charakterze partnera.</w:t>
            </w:r>
          </w:p>
        </w:tc>
      </w:tr>
      <w:tr w:rsidR="00547FDE" w:rsidRPr="006B580F" w:rsidTr="000C1D66">
        <w:trPr>
          <w:trHeight w:val="442"/>
        </w:trPr>
        <w:tc>
          <w:tcPr>
            <w:tcW w:w="2400" w:type="pct"/>
            <w:gridSpan w:val="5"/>
            <w:shd w:val="clear" w:color="auto" w:fill="FFFFFF" w:themeFill="background1"/>
            <w:vAlign w:val="center"/>
          </w:tcPr>
          <w:p w:rsidR="00547FDE" w:rsidRPr="00547FDE" w:rsidRDefault="00547FDE" w:rsidP="0054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0" w:type="pct"/>
            <w:gridSpan w:val="5"/>
            <w:shd w:val="clear" w:color="auto" w:fill="FFFFFF" w:themeFill="background1"/>
            <w:vAlign w:val="center"/>
          </w:tcPr>
          <w:p w:rsidR="00547FDE" w:rsidRPr="00547FDE" w:rsidRDefault="00547FDE" w:rsidP="0054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F25B31">
        <w:trPr>
          <w:trHeight w:val="1173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C371F" w:rsidRPr="00F25B31" w:rsidRDefault="00BC371F" w:rsidP="00F32C02">
            <w:pPr>
              <w:pStyle w:val="Default"/>
              <w:numPr>
                <w:ilvl w:val="0"/>
                <w:numId w:val="11"/>
              </w:numPr>
              <w:ind w:left="454" w:hanging="45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513E">
              <w:rPr>
                <w:b/>
                <w:sz w:val="22"/>
                <w:szCs w:val="22"/>
              </w:rPr>
              <w:t xml:space="preserve">Projekt zakłada minimalne poziomy efektywności </w:t>
            </w:r>
            <w:r>
              <w:rPr>
                <w:b/>
                <w:sz w:val="22"/>
                <w:szCs w:val="22"/>
              </w:rPr>
              <w:t>społecznej</w:t>
            </w:r>
            <w:r w:rsidRPr="002A513E">
              <w:rPr>
                <w:rFonts w:eastAsia="Arial Unicode MS"/>
                <w:b/>
                <w:sz w:val="22"/>
                <w:szCs w:val="22"/>
              </w:rPr>
              <w:t>.</w:t>
            </w:r>
          </w:p>
          <w:p w:rsidR="00BC371F" w:rsidRPr="004C60D7" w:rsidRDefault="00BC371F" w:rsidP="00F25B31">
            <w:pPr>
              <w:pStyle w:val="Akapitzlist"/>
              <w:spacing w:after="0" w:line="240" w:lineRule="auto"/>
              <w:ind w:left="454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</w:p>
          <w:p w:rsidR="00BC371F" w:rsidRPr="00F25B31" w:rsidRDefault="00BC371F" w:rsidP="00F25B31">
            <w:pPr>
              <w:pStyle w:val="Akapitzlist"/>
              <w:numPr>
                <w:ilvl w:val="0"/>
                <w:numId w:val="18"/>
              </w:numPr>
              <w:ind w:left="880" w:hanging="426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F25B31">
              <w:rPr>
                <w:rFonts w:asciiTheme="minorHAnsi" w:eastAsia="Arial Unicode MS" w:hAnsiTheme="minorHAnsi"/>
                <w:sz w:val="20"/>
                <w:szCs w:val="20"/>
              </w:rPr>
              <w:t>osób z niepełnosprawnościami co najmniej 34%,</w:t>
            </w:r>
          </w:p>
          <w:p w:rsidR="00BC371F" w:rsidRPr="00F25B31" w:rsidRDefault="00BC371F" w:rsidP="00F25B31">
            <w:pPr>
              <w:pStyle w:val="Akapitzlist"/>
              <w:numPr>
                <w:ilvl w:val="0"/>
                <w:numId w:val="18"/>
              </w:numPr>
              <w:ind w:left="880" w:hanging="426"/>
              <w:jc w:val="both"/>
              <w:rPr>
                <w:rFonts w:asciiTheme="minorHAnsi" w:eastAsia="Arial Unicode MS" w:hAnsiTheme="minorHAnsi"/>
                <w:sz w:val="20"/>
                <w:szCs w:val="20"/>
                <w:lang w:eastAsia="zh-CN"/>
              </w:rPr>
            </w:pPr>
            <w:r w:rsidRPr="00F25B31">
              <w:rPr>
                <w:rFonts w:asciiTheme="minorHAnsi" w:eastAsia="Arial Unicode MS" w:hAnsiTheme="minorHAnsi"/>
                <w:sz w:val="20"/>
                <w:szCs w:val="20"/>
              </w:rPr>
              <w:t>pozostałych osób zagrożonych ubóstwem lub wykluczeniem społecznym co najmniej 34%.</w:t>
            </w:r>
          </w:p>
        </w:tc>
      </w:tr>
      <w:tr w:rsidR="00BC371F" w:rsidRPr="006B580F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192996" w:rsidRDefault="00BC371F" w:rsidP="00F32C02">
            <w:pPr>
              <w:pStyle w:val="Akapitzlist"/>
              <w:numPr>
                <w:ilvl w:val="0"/>
                <w:numId w:val="11"/>
              </w:numPr>
              <w:spacing w:before="120" w:after="120"/>
              <w:ind w:left="454" w:hanging="454"/>
              <w:rPr>
                <w:rFonts w:eastAsia="Arial Unicode MS"/>
                <w:b/>
              </w:rPr>
            </w:pPr>
            <w:r w:rsidRPr="00192996">
              <w:rPr>
                <w:rFonts w:cs="Calibri"/>
                <w:b/>
              </w:rPr>
              <w:t>Pr</w:t>
            </w:r>
            <w:r>
              <w:rPr>
                <w:rFonts w:cs="Calibri"/>
                <w:b/>
              </w:rPr>
              <w:t>ojekt z</w:t>
            </w:r>
            <w:r w:rsidRPr="00DF55EE">
              <w:rPr>
                <w:rFonts w:cs="Calibri"/>
                <w:b/>
              </w:rPr>
              <w:t>akłada minimalne poziomy efektywności zatrudnieniowej</w:t>
            </w:r>
            <w:r w:rsidRPr="00192996">
              <w:rPr>
                <w:rFonts w:cs="Calibri"/>
                <w:b/>
              </w:rPr>
              <w:t>.</w:t>
            </w:r>
          </w:p>
          <w:p w:rsidR="00BC371F" w:rsidRPr="00566BD8" w:rsidRDefault="00BC371F" w:rsidP="00F25B31">
            <w:pPr>
              <w:autoSpaceDE w:val="0"/>
              <w:autoSpaceDN w:val="0"/>
              <w:adjustRightInd w:val="0"/>
              <w:ind w:left="45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BC371F" w:rsidRDefault="00BC371F" w:rsidP="00F25B31">
            <w:pPr>
              <w:numPr>
                <w:ilvl w:val="0"/>
                <w:numId w:val="2"/>
              </w:numPr>
              <w:suppressAutoHyphens w:val="0"/>
              <w:ind w:left="454" w:firstLine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BC371F" w:rsidRPr="00566BD8" w:rsidRDefault="00BC371F" w:rsidP="00F25B31">
            <w:pPr>
              <w:numPr>
                <w:ilvl w:val="0"/>
                <w:numId w:val="2"/>
              </w:numPr>
              <w:suppressAutoHyphens w:val="0"/>
              <w:ind w:left="454" w:firstLine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F25B31" w:rsidRDefault="00F25B31" w:rsidP="00F25B31">
            <w:pPr>
              <w:ind w:left="454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C371F" w:rsidRPr="00F25B31" w:rsidRDefault="00BC371F" w:rsidP="00F25B31">
            <w:pPr>
              <w:ind w:left="45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 w:rsidRPr="00BB5E91">
              <w:rPr>
                <w:rFonts w:ascii="Calibri" w:hAnsi="Calibri" w:cs="Arial"/>
                <w:sz w:val="20"/>
                <w:szCs w:val="20"/>
              </w:rPr>
              <w:t>z dnia 9 stycznia 2018 r.</w:t>
            </w:r>
          </w:p>
        </w:tc>
      </w:tr>
      <w:tr w:rsidR="00BC371F" w:rsidRPr="006B580F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2B393E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1223" w:type="pct"/>
            <w:gridSpan w:val="3"/>
            <w:shd w:val="clear" w:color="auto" w:fill="FFFFFF"/>
            <w:vAlign w:val="center"/>
          </w:tcPr>
          <w:p w:rsidR="00BC371F" w:rsidRPr="002B393E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BC371F" w:rsidRPr="002B393E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6B580F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DF55EE" w:rsidRDefault="00BC371F" w:rsidP="00F32C02">
            <w:pPr>
              <w:pStyle w:val="Akapitzlist"/>
              <w:numPr>
                <w:ilvl w:val="0"/>
                <w:numId w:val="11"/>
              </w:numPr>
              <w:spacing w:before="120" w:after="120"/>
              <w:ind w:left="454" w:hanging="454"/>
              <w:rPr>
                <w:rFonts w:eastAsia="Arial Unicode MS"/>
                <w:b/>
              </w:rPr>
            </w:pPr>
            <w:r w:rsidRPr="009B5445">
              <w:rPr>
                <w:rFonts w:cs="Calibri"/>
                <w:b/>
              </w:rPr>
              <w:t>Indywidualizacja wsparcia</w:t>
            </w:r>
            <w:r w:rsidRPr="00192996">
              <w:rPr>
                <w:rFonts w:cs="Calibri"/>
                <w:b/>
              </w:rPr>
              <w:t>.</w:t>
            </w:r>
          </w:p>
          <w:p w:rsidR="00BC371F" w:rsidRPr="00F25B31" w:rsidRDefault="00BC371F" w:rsidP="00F25B31">
            <w:pPr>
              <w:ind w:left="454"/>
              <w:rPr>
                <w:rFonts w:ascii="Calibri" w:hAnsi="Calibri" w:cs="Arial"/>
                <w:sz w:val="20"/>
                <w:szCs w:val="20"/>
              </w:rPr>
            </w:pPr>
            <w:r w:rsidRPr="00A108D4">
              <w:rPr>
                <w:rFonts w:ascii="Calibri" w:hAnsi="Calibri" w:cs="Arial"/>
                <w:sz w:val="20"/>
                <w:szCs w:val="20"/>
              </w:rPr>
              <w:t xml:space="preserve">Proces wsparcia osób zagrożonych ubóstwem lub wykluczeniem społecznym odbywa się w oparciu o indywidualną ścieżkę reintegracji z uwzględnieniem diagnozy sytuacji problemowej, zasobów, potencjału, predyspozycji, potrzeb z </w:t>
            </w:r>
            <w:r w:rsidRPr="00A108D4">
              <w:rPr>
                <w:rFonts w:ascii="Calibri" w:hAnsi="Calibri" w:cs="Arial"/>
                <w:sz w:val="20"/>
                <w:szCs w:val="20"/>
              </w:rPr>
              <w:lastRenderedPageBreak/>
              <w:t>zastrzeżeniem, że nie może ona obejmować wyłącznie pracy socjalnej, a instrument aktywizacji zawodowej nie stanowi pierwszego elementu wsparcia w ramach indywidualnej ścieżki reintegracji.</w:t>
            </w:r>
          </w:p>
        </w:tc>
      </w:tr>
      <w:tr w:rsidR="00BC371F" w:rsidRPr="006B580F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CE3054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192996" w:rsidRDefault="00BC371F" w:rsidP="00F32C02">
            <w:pPr>
              <w:pStyle w:val="Default"/>
              <w:numPr>
                <w:ilvl w:val="0"/>
                <w:numId w:val="11"/>
              </w:numPr>
              <w:spacing w:before="120" w:after="120"/>
              <w:ind w:left="454" w:hanging="4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Narzędzia realizacji wsparcia</w:t>
            </w:r>
            <w:r w:rsidRPr="00192996">
              <w:rPr>
                <w:b/>
                <w:sz w:val="22"/>
                <w:szCs w:val="22"/>
              </w:rPr>
              <w:t>.</w:t>
            </w:r>
          </w:p>
          <w:p w:rsidR="00BC371F" w:rsidRPr="00F25B31" w:rsidRDefault="00BC371F" w:rsidP="00F25B31">
            <w:pPr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1D7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z każdym uczestnikiem podpisywana i realizowana jest umowa na wzór kontraktu socjalnego.</w:t>
            </w:r>
          </w:p>
        </w:tc>
      </w:tr>
      <w:tr w:rsidR="00BC371F" w:rsidRPr="006B580F" w:rsidTr="00BC371F">
        <w:trPr>
          <w:trHeight w:val="579"/>
        </w:trPr>
        <w:tc>
          <w:tcPr>
            <w:tcW w:w="1387" w:type="pct"/>
            <w:gridSpan w:val="4"/>
            <w:shd w:val="clear" w:color="auto" w:fill="auto"/>
            <w:vAlign w:val="center"/>
          </w:tcPr>
          <w:p w:rsidR="00BC371F" w:rsidRPr="006B580F" w:rsidRDefault="00BC371F" w:rsidP="00BC371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BC371F" w:rsidRPr="006B580F" w:rsidRDefault="00BC371F" w:rsidP="00BC371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4"/>
            <w:shd w:val="clear" w:color="auto" w:fill="auto"/>
            <w:vAlign w:val="center"/>
          </w:tcPr>
          <w:p w:rsidR="00BC371F" w:rsidRPr="006B580F" w:rsidRDefault="00BC371F" w:rsidP="00BC371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EF319A" w:rsidTr="00BC371F">
        <w:trPr>
          <w:gridBefore w:val="1"/>
          <w:wBefore w:w="4" w:type="pct"/>
          <w:trHeight w:val="1596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DF55EE" w:rsidRDefault="00BC371F" w:rsidP="00F32C02">
            <w:pPr>
              <w:pStyle w:val="Akapitzlist"/>
              <w:numPr>
                <w:ilvl w:val="0"/>
                <w:numId w:val="11"/>
              </w:numPr>
              <w:spacing w:before="120" w:after="120"/>
              <w:ind w:left="446" w:hanging="44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Preferencje grupy docelowej</w:t>
            </w:r>
            <w:r w:rsidRPr="00DF55EE">
              <w:rPr>
                <w:rFonts w:cs="Calibri"/>
                <w:b/>
              </w:rPr>
              <w:t>.</w:t>
            </w:r>
          </w:p>
          <w:p w:rsidR="00BC371F" w:rsidRPr="001F4214" w:rsidRDefault="00BC371F" w:rsidP="00F25B31">
            <w:pPr>
              <w:autoSpaceDE w:val="0"/>
              <w:autoSpaceDN w:val="0"/>
              <w:adjustRightInd w:val="0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Kryteria rekrutacji uwzględniają preferencje dla:</w:t>
            </w:r>
          </w:p>
          <w:p w:rsidR="00BC371F" w:rsidRPr="001F4214" w:rsidRDefault="00BC371F" w:rsidP="00F25B31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872" w:hanging="42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osób zagrożonych ubóstwem lub wykluczeniem społecznym doświadczających wielokrotnego wykluczenia społecznego rozumianego jako wykluczenie z powodu więcej niż jednej przesłanek, o których mowa w Rozdziale 3 pkt 15 </w:t>
            </w:r>
            <w:r w:rsidRPr="001F4214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dnia 9 stycznia 2018 r.,</w:t>
            </w:r>
          </w:p>
          <w:p w:rsidR="00BC371F" w:rsidRPr="001F4214" w:rsidRDefault="00BC371F" w:rsidP="00F25B31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872" w:hanging="42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korzystających z Programu Operacyjnego Pomoc Żywnościowa, a zakres wsparcia w projekcie nie będzie powielać działań, które dana osoba otrzymywała lub otrzymuje w ramach działań towarzyszących, o których mowa w PO PŻ,</w:t>
            </w:r>
          </w:p>
          <w:p w:rsidR="00BC371F" w:rsidRPr="001F4214" w:rsidRDefault="00BC371F" w:rsidP="00F25B31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872" w:hanging="42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o znacznym lub umiarkowanym stopniu niepełnosprawności,</w:t>
            </w:r>
          </w:p>
          <w:p w:rsidR="00BC371F" w:rsidRPr="001F4214" w:rsidRDefault="00BC371F" w:rsidP="00F25B31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872" w:hanging="42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niepełnosprawnością sprzężoną,</w:t>
            </w:r>
          </w:p>
          <w:p w:rsidR="00BC371F" w:rsidRPr="001F4214" w:rsidRDefault="00BC371F" w:rsidP="00F25B31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872" w:hanging="426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zaburzeniami psychicznymi, w tym osób z niepełnosprawnością intelektualną i osób z całościowymi zaburzeniami rozwojowymi.</w:t>
            </w:r>
          </w:p>
          <w:p w:rsidR="00BC371F" w:rsidRPr="009B5445" w:rsidRDefault="00BC371F" w:rsidP="00F25B31">
            <w:pPr>
              <w:spacing w:before="120" w:after="120"/>
              <w:ind w:left="446"/>
              <w:jc w:val="both"/>
              <w:rPr>
                <w:rFonts w:cs="Arial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B93DC0" w:rsidTr="00132131">
        <w:trPr>
          <w:gridBefore w:val="1"/>
          <w:wBefore w:w="4" w:type="pct"/>
          <w:trHeight w:val="983"/>
        </w:trPr>
        <w:tc>
          <w:tcPr>
            <w:tcW w:w="4996" w:type="pct"/>
            <w:gridSpan w:val="9"/>
            <w:shd w:val="clear" w:color="auto" w:fill="D0CECE" w:themeFill="background2" w:themeFillShade="E6"/>
            <w:vAlign w:val="center"/>
          </w:tcPr>
          <w:p w:rsidR="00BC371F" w:rsidRPr="009B5445" w:rsidRDefault="00BC371F" w:rsidP="00F32C02">
            <w:pPr>
              <w:pStyle w:val="Akapitzlist"/>
              <w:numPr>
                <w:ilvl w:val="0"/>
                <w:numId w:val="11"/>
              </w:numPr>
              <w:spacing w:before="120" w:after="120"/>
              <w:ind w:left="446" w:hanging="44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młode.</w:t>
            </w:r>
          </w:p>
          <w:p w:rsidR="00BC371F" w:rsidRDefault="00BC371F" w:rsidP="00F25B31">
            <w:pPr>
              <w:autoSpaceDE w:val="0"/>
              <w:autoSpaceDN w:val="0"/>
              <w:adjustRightInd w:val="0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nie może być skoncentrowany na wsparciu dzieci (osoby poniżej 18 roku życia). Osoby zagrożone ubóstwem lub wykluczeniem społecznym do 18 roku życia nie mogą stanowić więcej niż 25% grupy docelowej z wyłączeniem otoczenia osób zagrożonych ubóstwem lub wykluczeniem społecznym.</w:t>
            </w:r>
          </w:p>
          <w:p w:rsidR="00BC371F" w:rsidRPr="001F4214" w:rsidRDefault="00BC371F" w:rsidP="00BC37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C371F" w:rsidRPr="001F4214" w:rsidRDefault="00BC371F" w:rsidP="00F25B31">
            <w:pPr>
              <w:autoSpaceDE w:val="0"/>
              <w:autoSpaceDN w:val="0"/>
              <w:adjustRightInd w:val="0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Kryterium nie dotyczy projektów przeznaczonych dla osób:</w:t>
            </w:r>
          </w:p>
          <w:p w:rsidR="00BC371F" w:rsidRPr="00F25B31" w:rsidRDefault="00BC371F" w:rsidP="00F25B3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5B31">
              <w:rPr>
                <w:rFonts w:asciiTheme="minorHAnsi" w:hAnsiTheme="minorHAnsi" w:cstheme="minorHAns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:rsidR="00BC371F" w:rsidRPr="00F25B31" w:rsidRDefault="00BC371F" w:rsidP="00F25B3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5B31">
              <w:rPr>
                <w:rFonts w:asciiTheme="minorHAnsi" w:hAnsiTheme="minorHAnsi" w:cstheme="minorHAns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:rsidR="00BC371F" w:rsidRPr="00F25B31" w:rsidRDefault="00BC371F" w:rsidP="00F25B31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5B31">
              <w:rPr>
                <w:rFonts w:asciiTheme="minorHAnsi" w:hAnsiTheme="minorHAnsi" w:cstheme="minorHAns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:rsidR="00BC371F" w:rsidRPr="00F25B31" w:rsidRDefault="00BC371F" w:rsidP="00BC371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5B31">
              <w:rPr>
                <w:rFonts w:asciiTheme="minorHAnsi" w:hAnsiTheme="minorHAnsi" w:cstheme="minorHAns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A630CA" w:rsidTr="00BC371F">
        <w:trPr>
          <w:gridBefore w:val="1"/>
          <w:wBefore w:w="4" w:type="pct"/>
          <w:trHeight w:val="533"/>
        </w:trPr>
        <w:tc>
          <w:tcPr>
            <w:tcW w:w="4996" w:type="pct"/>
            <w:gridSpan w:val="9"/>
            <w:shd w:val="clear" w:color="auto" w:fill="D0CECE" w:themeFill="background2" w:themeFillShade="E6"/>
            <w:vAlign w:val="center"/>
          </w:tcPr>
          <w:p w:rsidR="00BC371F" w:rsidRPr="00D429FB" w:rsidRDefault="00BC371F" w:rsidP="00F32C02">
            <w:pPr>
              <w:pStyle w:val="Akapitzlist"/>
              <w:numPr>
                <w:ilvl w:val="0"/>
                <w:numId w:val="11"/>
              </w:numPr>
              <w:spacing w:before="120" w:after="240"/>
              <w:ind w:left="446" w:hanging="425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Mechanizmy gwarantujące wysoką jakość szkoleń</w:t>
            </w:r>
            <w:r w:rsidRPr="00192996">
              <w:rPr>
                <w:rFonts w:cs="Calibri"/>
                <w:b/>
              </w:rPr>
              <w:t>.</w:t>
            </w:r>
          </w:p>
          <w:p w:rsidR="00BC371F" w:rsidRPr="00992BF4" w:rsidRDefault="00BC371F" w:rsidP="00F25B31">
            <w:pPr>
              <w:pStyle w:val="Akapitzlist"/>
              <w:ind w:left="4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przypadku realizacji szkoleń ich efektem jest uzyskanie kwalifikacji lub nabycie kompetencji w rozumieniu </w:t>
            </w:r>
            <w:r w:rsidRPr="00A108D4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Wytycznych w zakresie monitorowania postępu rzeczowego realizacji programów operacyjnych na lata 2014-2020 </w:t>
            </w:r>
            <w:r w:rsidRPr="00A108D4">
              <w:rPr>
                <w:rFonts w:asciiTheme="minorHAnsi" w:eastAsia="Times New Roman" w:hAnsiTheme="minorHAnsi" w:cstheme="minorHAnsi"/>
                <w:sz w:val="20"/>
                <w:szCs w:val="20"/>
              </w:rPr>
              <w:t>z dnia 9 lipca 2018 r.,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54792F" w:rsidTr="00BC371F">
        <w:trPr>
          <w:gridBefore w:val="1"/>
          <w:wBefore w:w="4" w:type="pct"/>
          <w:trHeight w:val="1109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F32C02" w:rsidRDefault="00BC371F" w:rsidP="00F32C02">
            <w:pPr>
              <w:pStyle w:val="Akapitzlist"/>
              <w:numPr>
                <w:ilvl w:val="0"/>
                <w:numId w:val="11"/>
              </w:numPr>
              <w:spacing w:before="120" w:after="120"/>
              <w:ind w:left="446" w:hanging="446"/>
              <w:rPr>
                <w:rFonts w:asciiTheme="minorHAnsi" w:eastAsia="Arial Unicode MS" w:hAnsiTheme="minorHAnsi" w:cstheme="minorHAnsi"/>
                <w:b/>
              </w:rPr>
            </w:pPr>
            <w:r w:rsidRPr="00F32C02">
              <w:rPr>
                <w:rFonts w:asciiTheme="minorHAnsi" w:eastAsia="Arial Unicode MS" w:hAnsiTheme="minorHAnsi" w:cstheme="minorHAnsi"/>
                <w:b/>
              </w:rPr>
              <w:lastRenderedPageBreak/>
              <w:t>Zakres wsparcia funkcjonujących ZAZ.</w:t>
            </w:r>
          </w:p>
          <w:p w:rsidR="00BC371F" w:rsidRPr="00A108D4" w:rsidRDefault="00BC371F" w:rsidP="00F32C02">
            <w:pPr>
              <w:autoSpaceDE w:val="0"/>
              <w:autoSpaceDN w:val="0"/>
              <w:adjustRightInd w:val="0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Zakładów Aktywności Zawodowej (ZAZ) poprzez:</w:t>
            </w:r>
          </w:p>
          <w:p w:rsidR="00BC371F" w:rsidRDefault="00BC371F" w:rsidP="00BC37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:rsidR="00BC371F" w:rsidRPr="00DB67CE" w:rsidRDefault="00BC371F" w:rsidP="00BC371F">
            <w:pPr>
              <w:pStyle w:val="Akapitzlist"/>
              <w:autoSpaceDE w:val="0"/>
              <w:autoSpaceDN w:val="0"/>
              <w:adjustRightInd w:val="0"/>
              <w:ind w:left="73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B67CE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:rsidR="00BC371F" w:rsidRPr="00A108D4" w:rsidRDefault="00BC371F" w:rsidP="00BC37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  <w:p w:rsidR="00BC371F" w:rsidRPr="00192996" w:rsidRDefault="00BC371F" w:rsidP="00BC371F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BC371F" w:rsidRPr="00566BD8" w:rsidTr="00BC371F">
        <w:trPr>
          <w:gridBefore w:val="1"/>
          <w:wBefore w:w="4" w:type="pct"/>
          <w:trHeight w:val="566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BC371F" w:rsidRPr="004C2010" w:rsidTr="00BC371F">
        <w:trPr>
          <w:gridBefore w:val="1"/>
          <w:wBefore w:w="4" w:type="pct"/>
          <w:trHeight w:val="590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D429FB" w:rsidRDefault="00BC371F" w:rsidP="00F32C02">
            <w:pPr>
              <w:pStyle w:val="Akapitzlist"/>
              <w:numPr>
                <w:ilvl w:val="0"/>
                <w:numId w:val="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Zakres wsparcia funkcjonujących WTZ</w:t>
            </w:r>
            <w:r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BC371F" w:rsidRPr="00A108D4" w:rsidRDefault="00BC371F" w:rsidP="00F32C02">
            <w:pPr>
              <w:autoSpaceDE w:val="0"/>
              <w:autoSpaceDN w:val="0"/>
              <w:adjustRightInd w:val="0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Warsztatów Terapii Zajęciowej (WTZ) poprzez:</w:t>
            </w:r>
          </w:p>
          <w:p w:rsidR="00BC371F" w:rsidRPr="00A108D4" w:rsidRDefault="00BC371F" w:rsidP="00BC371F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wsparcie usługami aktywnej integracji nowych osób w istniejących WTZ</w:t>
            </w:r>
          </w:p>
          <w:p w:rsidR="00BC371F" w:rsidRPr="00A108D4" w:rsidRDefault="00BC371F" w:rsidP="00BC371F">
            <w:pPr>
              <w:autoSpaceDE w:val="0"/>
              <w:autoSpaceDN w:val="0"/>
              <w:adjustRightInd w:val="0"/>
              <w:ind w:firstLine="44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lub</w:t>
            </w:r>
          </w:p>
          <w:p w:rsidR="00BC371F" w:rsidRPr="00910D24" w:rsidRDefault="00BC371F" w:rsidP="00BC371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BC371F" w:rsidRPr="00566BD8" w:rsidTr="00BC371F">
        <w:trPr>
          <w:gridBefore w:val="1"/>
          <w:wBefore w:w="4" w:type="pct"/>
          <w:trHeight w:val="566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BC371F" w:rsidRPr="00D04BD3" w:rsidTr="00BC371F">
        <w:trPr>
          <w:gridBefore w:val="1"/>
          <w:wBefore w:w="4" w:type="pct"/>
          <w:trHeight w:val="1337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371F" w:rsidRPr="00D429FB" w:rsidRDefault="00BC371F" w:rsidP="003A1742">
            <w:pPr>
              <w:pStyle w:val="Akapitzlist"/>
              <w:numPr>
                <w:ilvl w:val="0"/>
                <w:numId w:val="8"/>
              </w:numPr>
              <w:spacing w:before="120" w:after="120"/>
              <w:ind w:left="446" w:hanging="44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wsparcia CIS, KIS</w:t>
            </w:r>
            <w:r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BC371F" w:rsidRPr="003A1742" w:rsidRDefault="00BC371F" w:rsidP="003A1742">
            <w:pPr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stworzenie nowych miejsc reintegracji społecznej i zawodowej w istniejących podmiotach (KIS, CIS) lub poprzez utworzenie nowych podmiotów (KIS, CIS).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A92E35" w:rsidTr="00BC371F">
        <w:trPr>
          <w:gridBefore w:val="1"/>
          <w:wBefore w:w="4" w:type="pct"/>
          <w:trHeight w:val="814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3A1742" w:rsidRDefault="00BC371F" w:rsidP="003A1742">
            <w:pPr>
              <w:pStyle w:val="Akapitzlist"/>
              <w:numPr>
                <w:ilvl w:val="0"/>
                <w:numId w:val="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3A1742">
              <w:rPr>
                <w:rFonts w:asciiTheme="minorHAnsi" w:hAnsiTheme="minorHAnsi" w:cstheme="minorHAnsi"/>
                <w:b/>
              </w:rPr>
              <w:t>Tworzenie podmiotów reintegracyjnych tj. Centrów Integracji Społecznej, Klubów Integracji Społecznej, Zakładów Aktywności Zawodowej z wyłączeniem Warsztatów Terapii Zajęciowej.</w:t>
            </w:r>
          </w:p>
          <w:p w:rsidR="00BC371F" w:rsidRPr="00A108D4" w:rsidRDefault="00BC371F" w:rsidP="003A1742">
            <w:pPr>
              <w:suppressAutoHyphens w:val="0"/>
              <w:autoSpaceDE w:val="0"/>
              <w:autoSpaceDN w:val="0"/>
              <w:adjustRightInd w:val="0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wsparcie dotyczące utworzenia nowego CIS, KIS, ZAZ możliwe jest wyłącznie na obszarze realizacji projektu, na terenie którego nie funkcjonuje dany rodzaj podmiotu. Istnieje możliwość utworzenia nowego CIS, KIS, ZAZ w obszarze realizacji projektu, na którym już dany rodzaj podmiotu funkcjonuje, o ile wnioskodawca wykaże w treści wniosku, w oparciu o analizę potrzeb grupy docelowej, niedostateczny poziom dostępności usług danego rodzaju podmiotu.</w:t>
            </w:r>
          </w:p>
          <w:p w:rsidR="00BC371F" w:rsidRPr="00DB67CE" w:rsidRDefault="00BC371F" w:rsidP="003A1742">
            <w:pPr>
              <w:spacing w:before="120" w:after="120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nie jest tworzony nowy WTZ.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A92E35" w:rsidTr="00BC371F">
        <w:trPr>
          <w:gridBefore w:val="1"/>
          <w:wBefore w:w="4" w:type="pct"/>
          <w:trHeight w:val="1572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3A1742" w:rsidRDefault="00BC371F" w:rsidP="003A1742">
            <w:pPr>
              <w:pStyle w:val="Akapitzlist"/>
              <w:numPr>
                <w:ilvl w:val="0"/>
                <w:numId w:val="8"/>
              </w:numPr>
              <w:spacing w:before="120" w:after="120"/>
              <w:ind w:left="446" w:hanging="446"/>
              <w:rPr>
                <w:rFonts w:asciiTheme="minorHAnsi" w:hAnsiTheme="minorHAnsi" w:cstheme="minorHAnsi"/>
                <w:b/>
              </w:rPr>
            </w:pPr>
            <w:r w:rsidRPr="003A1742">
              <w:rPr>
                <w:rFonts w:asciiTheme="minorHAnsi" w:hAnsiTheme="minorHAnsi" w:cstheme="minorHAnsi"/>
                <w:b/>
              </w:rPr>
              <w:t xml:space="preserve">Trwałość </w:t>
            </w:r>
            <w:r w:rsidRPr="003A1742">
              <w:rPr>
                <w:rFonts w:asciiTheme="minorHAnsi" w:eastAsia="Arial Unicode MS" w:hAnsiTheme="minorHAnsi" w:cstheme="minorHAnsi"/>
                <w:b/>
              </w:rPr>
              <w:t>zatrudnienia w Zakładzie Aktywności Zawodowej</w:t>
            </w:r>
            <w:r w:rsidRPr="003A1742">
              <w:rPr>
                <w:rFonts w:asciiTheme="minorHAnsi" w:hAnsiTheme="minorHAnsi" w:cstheme="minorHAnsi"/>
                <w:b/>
              </w:rPr>
              <w:t>.</w:t>
            </w:r>
          </w:p>
          <w:p w:rsidR="00BC371F" w:rsidRPr="00A108D4" w:rsidRDefault="00BC371F" w:rsidP="003A1742">
            <w:pPr>
              <w:spacing w:before="120" w:after="120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 projekcie obejmującym zatrudnienie nowych osób z niepełnosprawnościami w ZAZ, okres zatrudnienia tych osób w ZAZ po zakończeniu realizacji projektu jest co najmniej równy okresowi zatrudnienia w ramach projektu (okres ten może być krótszy, o ile osoba z niepełnosprawnością podejmie zatrudnienie poza ZAZ).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D04BD3" w:rsidTr="00BC371F">
        <w:trPr>
          <w:gridBefore w:val="1"/>
          <w:wBefore w:w="4" w:type="pct"/>
          <w:trHeight w:val="565"/>
        </w:trPr>
        <w:tc>
          <w:tcPr>
            <w:tcW w:w="4996" w:type="pct"/>
            <w:gridSpan w:val="9"/>
            <w:shd w:val="clear" w:color="auto" w:fill="D9D9D9" w:themeFill="background1" w:themeFillShade="D9"/>
            <w:vAlign w:val="center"/>
          </w:tcPr>
          <w:p w:rsidR="00BC371F" w:rsidRPr="003A1742" w:rsidRDefault="00BC371F" w:rsidP="003A1742">
            <w:pPr>
              <w:pStyle w:val="Akapitzlist"/>
              <w:numPr>
                <w:ilvl w:val="0"/>
                <w:numId w:val="8"/>
              </w:numPr>
              <w:spacing w:before="120" w:after="120"/>
              <w:ind w:left="446" w:hanging="446"/>
              <w:rPr>
                <w:rFonts w:asciiTheme="minorHAnsi" w:eastAsia="Arial Unicode MS" w:hAnsiTheme="minorHAnsi" w:cstheme="minorHAnsi"/>
                <w:b/>
              </w:rPr>
            </w:pPr>
            <w:r w:rsidRPr="003A1742">
              <w:rPr>
                <w:rFonts w:asciiTheme="minorHAnsi" w:eastAsia="Arial Unicode MS" w:hAnsiTheme="minorHAnsi" w:cstheme="minorHAnsi"/>
                <w:b/>
              </w:rPr>
              <w:t>Trwałość</w:t>
            </w:r>
            <w:r w:rsidRPr="003A1742">
              <w:rPr>
                <w:rFonts w:asciiTheme="minorHAnsi" w:hAnsiTheme="minorHAnsi" w:cstheme="minorHAnsi"/>
                <w:b/>
              </w:rPr>
              <w:t xml:space="preserve"> utworzonego KIS, CIS, ZAZ.</w:t>
            </w:r>
          </w:p>
          <w:p w:rsidR="00BC371F" w:rsidRDefault="00BC371F" w:rsidP="003A1742">
            <w:pPr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realizacji 2 typu projektu “wsparcie na tworzenie lub funkcjonowanie podmiotów integracji społecznej służące realizacji usług reintegracji społeczno-zawodowej, w tym KIS, CIS, WTZ, ZAZ” Wnioskodawca po zakończeniu realizacji projektu zapewni funkcjonowanie utworzonego w projekcie KIS, CIS, ZAZ przez okres co najmniej równy okresowi realizacji projektu.</w:t>
            </w:r>
          </w:p>
          <w:p w:rsidR="00BC371F" w:rsidRPr="00D04BD3" w:rsidRDefault="00BC371F" w:rsidP="00BC371F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4D4D8A" w:rsidTr="00BC371F">
        <w:trPr>
          <w:trHeight w:val="579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BC371F" w:rsidRPr="004D4D8A" w:rsidRDefault="00BC371F" w:rsidP="00BC371F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BC371F" w:rsidRPr="004D4D8A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4D4D8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550" w:type="pct"/>
            <w:gridSpan w:val="3"/>
            <w:shd w:val="clear" w:color="auto" w:fill="FFFFFF"/>
            <w:vAlign w:val="center"/>
          </w:tcPr>
          <w:p w:rsidR="00BC371F" w:rsidRDefault="00BC371F" w:rsidP="00BC371F">
            <w:pPr>
              <w:rPr>
                <w:rFonts w:ascii="Calibri" w:eastAsia="Arial Unicode MS" w:hAnsi="Calibri"/>
              </w:rPr>
            </w:pPr>
          </w:p>
          <w:p w:rsidR="00BC371F" w:rsidRPr="004D4D8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63" w:type="pct"/>
            <w:gridSpan w:val="3"/>
            <w:shd w:val="clear" w:color="auto" w:fill="FFFFFF"/>
            <w:vAlign w:val="center"/>
          </w:tcPr>
          <w:p w:rsidR="00BC371F" w:rsidRDefault="00BC371F" w:rsidP="00BC371F">
            <w:pPr>
              <w:rPr>
                <w:rFonts w:ascii="Calibri" w:eastAsia="Arial Unicode MS" w:hAnsi="Calibri"/>
              </w:rPr>
            </w:pPr>
          </w:p>
          <w:p w:rsidR="00BC371F" w:rsidRDefault="00BC371F" w:rsidP="00BC371F">
            <w:pPr>
              <w:rPr>
                <w:rFonts w:ascii="Calibri" w:eastAsia="Arial Unicode MS" w:hAnsi="Calibri"/>
              </w:rPr>
            </w:pPr>
          </w:p>
          <w:p w:rsidR="00BC371F" w:rsidRDefault="00BC371F" w:rsidP="00BC371F">
            <w:pPr>
              <w:jc w:val="center"/>
              <w:rPr>
                <w:rFonts w:ascii="Calibri" w:hAnsi="Calibri"/>
                <w:smallCaps/>
                <w:kern w:val="24"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  <w:p w:rsidR="00BC371F" w:rsidRPr="004D4D8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71F" w:rsidRPr="004D4D8A" w:rsidTr="00BC371F">
        <w:trPr>
          <w:trHeight w:val="579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C371F" w:rsidRPr="004D4D8A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BC371F" w:rsidRPr="004D4D8A" w:rsidRDefault="00BC371F" w:rsidP="00BC371F">
            <w:pPr>
              <w:rPr>
                <w:rFonts w:ascii="Calibri" w:eastAsia="Arial Unicode MS" w:hAnsi="Calibri" w:cs="Arial"/>
              </w:rPr>
            </w:pPr>
          </w:p>
        </w:tc>
      </w:tr>
    </w:tbl>
    <w:p w:rsidR="00BC371F" w:rsidRDefault="00BC371F" w:rsidP="00BC371F">
      <w:pPr>
        <w:tabs>
          <w:tab w:val="left" w:pos="1425"/>
        </w:tabs>
        <w:sectPr w:rsidR="00BC371F" w:rsidSect="00547FDE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BC371F" w:rsidRDefault="00BC371F" w:rsidP="00BC37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BC371F" w:rsidTr="00BC371F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</w:rPr>
            </w:pPr>
            <w:bookmarkStart w:id="2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BC371F" w:rsidTr="00BC371F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ZAŁOŻENIAMI RPO WŁ 2014-2020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3A1742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BC371F" w:rsidRDefault="00BC371F" w:rsidP="003A1742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pomiaru;</w:t>
            </w:r>
          </w:p>
          <w:p w:rsidR="00BC371F" w:rsidRDefault="00BC371F" w:rsidP="003A1742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przedsięwzięcia;</w:t>
            </w:r>
          </w:p>
          <w:p w:rsidR="00BC371F" w:rsidRDefault="00BC371F" w:rsidP="003A1742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dotyczy);</w:t>
            </w:r>
          </w:p>
          <w:p w:rsidR="00BC371F" w:rsidRDefault="00BC371F" w:rsidP="003A1742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złagodzić;</w:t>
            </w:r>
          </w:p>
          <w:p w:rsidR="00BC371F" w:rsidRDefault="00BC371F" w:rsidP="003A1742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strategicznych;</w:t>
            </w:r>
          </w:p>
          <w:p w:rsidR="00BC371F" w:rsidRDefault="00BC371F" w:rsidP="003A1742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BC371F" w:rsidRDefault="00BC371F" w:rsidP="00BC371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BC371F" w:rsidRDefault="00BC371F" w:rsidP="00BC371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BC371F" w:rsidRDefault="00BC371F" w:rsidP="00BC371F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BC371F" w:rsidRDefault="00BC371F" w:rsidP="003A17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BC371F" w:rsidRDefault="00BC371F" w:rsidP="003A17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BC371F" w:rsidRDefault="00BC371F" w:rsidP="003A17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BC371F" w:rsidRDefault="00BC371F" w:rsidP="003A17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BC371F" w:rsidRDefault="00BC371F" w:rsidP="003A17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BC371F" w:rsidRDefault="00BC371F" w:rsidP="00BC371F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BC371F" w:rsidRDefault="00BC371F" w:rsidP="003A1742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BC371F" w:rsidRDefault="00BC371F" w:rsidP="003A1742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BC371F" w:rsidRDefault="00BC371F" w:rsidP="003A1742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BC371F" w:rsidRDefault="00BC371F" w:rsidP="003A1742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</w:p>
          <w:p w:rsidR="00BC371F" w:rsidRDefault="00BC371F" w:rsidP="00BC37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C371F" w:rsidRDefault="00BC371F" w:rsidP="00BC371F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3A1742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BC371F" w:rsidRDefault="00BC371F" w:rsidP="003A1742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BC371F" w:rsidRDefault="00BC371F" w:rsidP="003A1742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BC371F" w:rsidRDefault="00BC371F" w:rsidP="003A1742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BC371F" w:rsidRDefault="00BC371F" w:rsidP="003A1742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BC371F" w:rsidRDefault="00BC371F" w:rsidP="003A1742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BC371F" w:rsidRDefault="00BC371F" w:rsidP="003A1742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BC371F" w:rsidRDefault="00BC371F" w:rsidP="003A1742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</w:p>
          <w:p w:rsidR="00BC371F" w:rsidRDefault="00BC371F" w:rsidP="00BC371F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3A1742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BC371F" w:rsidRDefault="00BC371F" w:rsidP="003A1742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BC371F" w:rsidRDefault="00BC371F" w:rsidP="003A1742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BC371F" w:rsidRDefault="00BC371F" w:rsidP="003A1742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:rsidR="00BC371F" w:rsidRDefault="00BC371F" w:rsidP="00BC371F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BC371F" w:rsidRDefault="00BC371F" w:rsidP="003A174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 -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BC371F" w:rsidRDefault="00BC371F" w:rsidP="003A1742">
            <w:pPr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BC371F" w:rsidRDefault="00BC371F" w:rsidP="003A1742">
            <w:pPr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BC371F" w:rsidRDefault="00BC371F" w:rsidP="003A1742">
            <w:pPr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BC371F" w:rsidRDefault="00BC371F" w:rsidP="003A174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wskazanie instytucji, które mogą potwierdzić potencjał społeczny wnioskodawcy i partnerów (o ile dotyczy).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C371F" w:rsidRDefault="00BC371F" w:rsidP="00BC371F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- sposobu w jaki projekt będzie zarządzany, kadry zaangażowanej do realizacji projektu oraz jej doświadczenia i potencjału.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BC371F" w:rsidRDefault="00BC371F" w:rsidP="00BC371F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BC371F" w:rsidRDefault="00BC371F" w:rsidP="00BC371F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BC371F" w:rsidRDefault="00BC371F" w:rsidP="00BC371F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 xml:space="preserve">- kwalifikowalność wydatków,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BC371F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BC371F" w:rsidRPr="005864B5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BC371F" w:rsidRPr="005259FD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BC371F" w:rsidRPr="005259FD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BC371F" w:rsidRPr="005259FD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b/>
                <w:bCs/>
              </w:rPr>
            </w:pPr>
          </w:p>
        </w:tc>
      </w:tr>
      <w:tr w:rsidR="00BC371F" w:rsidTr="00BC371F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BC371F" w:rsidRDefault="00BC371F" w:rsidP="00BC371F">
            <w:pPr>
              <w:rPr>
                <w:rFonts w:ascii="Calibri" w:hAnsi="Calibri"/>
                <w:b/>
                <w:bCs/>
              </w:rPr>
            </w:pPr>
          </w:p>
        </w:tc>
      </w:tr>
      <w:bookmarkEnd w:id="2"/>
    </w:tbl>
    <w:p w:rsidR="00BC371F" w:rsidRDefault="00BC371F" w:rsidP="00BC371F">
      <w:pPr>
        <w:sectPr w:rsidR="00BC371F" w:rsidSect="00547FDE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BC371F" w:rsidRDefault="00BC371F" w:rsidP="00BC37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BC371F" w:rsidTr="00BC371F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lang w:eastAsia="ja-JP"/>
              </w:rPr>
            </w:pPr>
            <w:bookmarkStart w:id="3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BC371F" w:rsidTr="00BC371F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BC371F" w:rsidRPr="00BB0F24" w:rsidRDefault="00BC371F" w:rsidP="00BC371F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24"/>
        <w:gridCol w:w="1276"/>
        <w:gridCol w:w="1270"/>
      </w:tblGrid>
      <w:tr w:rsidR="00BC371F" w:rsidTr="00BB0F24">
        <w:trPr>
          <w:cantSplit/>
          <w:trHeight w:val="411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BC371F" w:rsidTr="00BB0F24">
        <w:trPr>
          <w:cantSplit/>
          <w:trHeight w:val="337"/>
          <w:jc w:val="center"/>
        </w:trPr>
        <w:tc>
          <w:tcPr>
            <w:tcW w:w="3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</w:p>
        </w:tc>
      </w:tr>
      <w:tr w:rsidR="00BC371F" w:rsidTr="00BB0F24">
        <w:trPr>
          <w:cantSplit/>
          <w:trHeight w:val="389"/>
          <w:jc w:val="center"/>
        </w:trPr>
        <w:tc>
          <w:tcPr>
            <w:tcW w:w="3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BC371F" w:rsidTr="00BB0F24">
        <w:trPr>
          <w:cantSplit/>
          <w:trHeight w:val="851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B0F24">
            <w:pPr>
              <w:pStyle w:val="Akapitzlist"/>
              <w:numPr>
                <w:ilvl w:val="0"/>
                <w:numId w:val="13"/>
              </w:numPr>
              <w:spacing w:after="0"/>
              <w:ind w:left="426" w:hanging="284"/>
              <w:rPr>
                <w:rFonts w:asciiTheme="minorHAnsi" w:hAnsiTheme="minorHAnsi" w:cstheme="minorHAnsi"/>
                <w:b/>
                <w:bCs/>
              </w:rPr>
            </w:pPr>
            <w:r w:rsidRPr="00192262">
              <w:rPr>
                <w:rFonts w:asciiTheme="minorHAnsi" w:hAnsiTheme="minorHAnsi" w:cstheme="minorHAnsi"/>
                <w:b/>
                <w:bCs/>
              </w:rPr>
              <w:t>Uczestnikami projekt</w:t>
            </w:r>
            <w:r>
              <w:rPr>
                <w:rFonts w:asciiTheme="minorHAnsi" w:hAnsiTheme="minorHAnsi" w:cstheme="minorHAnsi"/>
                <w:b/>
                <w:bCs/>
              </w:rPr>
              <w:t>ów</w:t>
            </w:r>
            <w:r w:rsidRPr="00192262">
              <w:rPr>
                <w:rFonts w:asciiTheme="minorHAnsi" w:hAnsiTheme="minorHAnsi" w:cstheme="minorHAnsi"/>
                <w:b/>
                <w:bCs/>
              </w:rPr>
              <w:t xml:space="preserve"> są osoby z niepełnosprawnościami.</w:t>
            </w:r>
          </w:p>
          <w:p w:rsidR="00BC371F" w:rsidRPr="00192262" w:rsidRDefault="00BC371F" w:rsidP="00BB0F24">
            <w:pPr>
              <w:spacing w:after="120"/>
              <w:ind w:left="278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Grupę docelową w co najmniej 50% będą stanowiły osoby:</w:t>
            </w:r>
          </w:p>
          <w:p w:rsidR="00BC371F" w:rsidRPr="00192262" w:rsidRDefault="00BC371F" w:rsidP="00BC371F">
            <w:pPr>
              <w:numPr>
                <w:ilvl w:val="0"/>
                <w:numId w:val="9"/>
              </w:numPr>
              <w:suppressAutoHyphens w:val="0"/>
              <w:spacing w:before="120" w:after="120" w:line="276" w:lineRule="auto"/>
              <w:ind w:left="279" w:firstLine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 znacznym lub umiarkowanym stopniu niepełnosprawności lub</w:t>
            </w:r>
          </w:p>
          <w:p w:rsidR="00BC371F" w:rsidRPr="00192262" w:rsidRDefault="00BC371F" w:rsidP="00BC371F">
            <w:pPr>
              <w:numPr>
                <w:ilvl w:val="0"/>
                <w:numId w:val="9"/>
              </w:numPr>
              <w:suppressAutoHyphens w:val="0"/>
              <w:spacing w:before="120" w:after="120" w:line="276" w:lineRule="auto"/>
              <w:ind w:left="279" w:firstLine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z niepełnosprawnością sprzężoną oraz osoby z zaburzeniami psychicznymi, w tym osoby z niepełnosprawnością intelektualną i osoby z całościowymi zaburzeniami rozwojowymi,</w:t>
            </w:r>
          </w:p>
          <w:p w:rsidR="00BC371F" w:rsidRPr="00192262" w:rsidRDefault="00BC371F" w:rsidP="00BC371F">
            <w:pPr>
              <w:spacing w:before="120" w:after="120"/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 wsparcie w ramach projektu zostanie dostosowane do specyficznych potrzeb tej grupy docelowej (otoczenie może wystąpić jedynie w zakresie niezbędnym dla wsparcia osób z niepełnosprawnościami i tylko łącznie z osobami z niepełnosprawnościami).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2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Pr="005665EB" w:rsidRDefault="00BC371F" w:rsidP="00BC371F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cantSplit/>
          <w:trHeight w:val="851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B0F24">
            <w:pPr>
              <w:pStyle w:val="Akapitzlist"/>
              <w:numPr>
                <w:ilvl w:val="0"/>
                <w:numId w:val="13"/>
              </w:numPr>
              <w:spacing w:after="0"/>
              <w:ind w:left="426" w:hanging="284"/>
              <w:jc w:val="both"/>
              <w:rPr>
                <w:rFonts w:cs="Calibri"/>
                <w:b/>
                <w:bCs/>
              </w:rPr>
            </w:pPr>
            <w:r w:rsidRPr="00192262">
              <w:rPr>
                <w:rFonts w:cs="Calibri"/>
                <w:b/>
                <w:bCs/>
              </w:rPr>
              <w:t>Projekt partnerski.</w:t>
            </w:r>
          </w:p>
          <w:p w:rsidR="00BC371F" w:rsidRPr="00192262" w:rsidRDefault="00BC371F" w:rsidP="00BB0F24">
            <w:pPr>
              <w:spacing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Projekt jest realizowany w partnerstwie pomiędzy podmiotem ekonomii społecznej a jednostką samorządu terytorialnego lub jej jednostką organizacyjną.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3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trHeight w:val="1755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45E" w:rsidRPr="00D8645E" w:rsidRDefault="00D8645E" w:rsidP="00D864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3. Praktyki lub staże uczestników WTZ</w:t>
            </w:r>
          </w:p>
          <w:p w:rsidR="00BC371F" w:rsidRPr="00192262" w:rsidRDefault="00D8645E" w:rsidP="00D8645E">
            <w:pPr>
              <w:spacing w:before="120"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8096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w projekcie dot. wsparcia dotychczasowych uczestników w ramach WTZ, projekt zakłada realizację praktyk lub staży dla mi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nimum 20% uczestników projektu.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8645E">
              <w:rPr>
                <w:rFonts w:ascii="Calibri" w:hAnsi="Calibri"/>
                <w:sz w:val="22"/>
                <w:szCs w:val="22"/>
                <w:lang w:eastAsia="ja-JP"/>
              </w:rPr>
              <w:t>– 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trHeight w:val="1929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D8645E" w:rsidP="00D8645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D8645E">
              <w:rPr>
                <w:rFonts w:asciiTheme="minorHAnsi" w:hAnsiTheme="minorHAnsi" w:cstheme="minorHAnsi"/>
                <w:b/>
                <w:sz w:val="22"/>
                <w:szCs w:val="22"/>
              </w:rPr>
              <w:t>4. Utworzenie podmiotu reintegracyjnego KIC, CIS, ZAZ.</w:t>
            </w:r>
          </w:p>
          <w:p w:rsidR="00D8645E" w:rsidRPr="00BB0F24" w:rsidRDefault="000F7687" w:rsidP="00BB0F24">
            <w:pPr>
              <w:keepNext/>
              <w:suppressAutoHyphens w:val="0"/>
              <w:spacing w:line="276" w:lineRule="auto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0F768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ZAZ” wynikiem realizacji projektu jest utworzenie podmiotu reintegracji społecznej KIS, CIS, ZAZ (z wyłączeniem WTZ).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8645E">
              <w:rPr>
                <w:rFonts w:ascii="Calibri" w:hAnsi="Calibri"/>
                <w:sz w:val="22"/>
                <w:szCs w:val="22"/>
                <w:lang w:eastAsia="ja-JP"/>
              </w:rPr>
              <w:t>– 5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cantSplit/>
          <w:trHeight w:val="561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BC371F" w:rsidTr="00BB0F24">
        <w:trPr>
          <w:cantSplit/>
          <w:trHeight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71F" w:rsidRDefault="00BC371F" w:rsidP="00BC371F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BC371F" w:rsidRDefault="00BC371F" w:rsidP="00BC371F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BC371F" w:rsidRPr="00BB0F24" w:rsidRDefault="00BC371F" w:rsidP="00BC371F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BC371F" w:rsidTr="00BC371F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Default="00BC371F" w:rsidP="00BC371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4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lastRenderedPageBreak/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Default="00BC371F" w:rsidP="00BC371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BC371F" w:rsidTr="00BB0F24">
        <w:trPr>
          <w:cantSplit/>
          <w:trHeight w:val="731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F" w:rsidRPr="00565B95" w:rsidRDefault="00BC371F" w:rsidP="00BC371F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371F" w:rsidRDefault="00BC371F" w:rsidP="00BC371F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371F" w:rsidRPr="00A3267E" w:rsidRDefault="00BC371F" w:rsidP="00BC371F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</w:r>
            <w:r w:rsidR="009F4E2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4"/>
    </w:tbl>
    <w:p w:rsidR="00BC371F" w:rsidRPr="00BB0F24" w:rsidRDefault="00BC371F" w:rsidP="00BC371F">
      <w:pPr>
        <w:rPr>
          <w:sz w:val="16"/>
          <w:szCs w:val="16"/>
        </w:rPr>
      </w:pP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8"/>
        <w:gridCol w:w="312"/>
        <w:gridCol w:w="724"/>
        <w:gridCol w:w="262"/>
        <w:gridCol w:w="773"/>
        <w:gridCol w:w="193"/>
        <w:gridCol w:w="271"/>
        <w:gridCol w:w="1124"/>
        <w:gridCol w:w="1158"/>
        <w:gridCol w:w="3376"/>
      </w:tblGrid>
      <w:tr w:rsidR="00BC371F" w:rsidTr="00BB0F24"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BC371F" w:rsidTr="00BB0F2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Pr="00106547" w:rsidRDefault="00BC371F" w:rsidP="00BC371F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BC371F" w:rsidRDefault="00BC371F" w:rsidP="00BC371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BC371F" w:rsidRDefault="00BC371F" w:rsidP="00BC371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BC371F" w:rsidTr="00BC371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BC371F" w:rsidTr="00BC371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3"/>
    </w:tbl>
    <w:p w:rsidR="00BC371F" w:rsidRPr="004D4702" w:rsidRDefault="00BC371F" w:rsidP="00BC371F"/>
    <w:p w:rsidR="00BC371F" w:rsidRDefault="00BC371F"/>
    <w:sectPr w:rsidR="00BC371F" w:rsidSect="00547F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31" w:rsidRDefault="00F25B31" w:rsidP="00BC371F">
      <w:r>
        <w:separator/>
      </w:r>
    </w:p>
  </w:endnote>
  <w:endnote w:type="continuationSeparator" w:id="0">
    <w:p w:rsidR="00F25B31" w:rsidRDefault="00F25B31" w:rsidP="00B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31" w:rsidRDefault="00F25B31" w:rsidP="00BC3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B31" w:rsidRDefault="00F25B31" w:rsidP="00BC37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31" w:rsidRPr="00F66562" w:rsidRDefault="00F25B31" w:rsidP="00BC371F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3A1742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F25B31" w:rsidRDefault="00F25B31" w:rsidP="00BC371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140"/>
      <w:docPartObj>
        <w:docPartGallery w:val="Page Numbers (Bottom of Page)"/>
        <w:docPartUnique/>
      </w:docPartObj>
    </w:sdtPr>
    <w:sdtEndPr/>
    <w:sdtContent>
      <w:p w:rsidR="00F25B31" w:rsidRDefault="00F25B3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1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B31" w:rsidRPr="00DB6981" w:rsidRDefault="00F25B31" w:rsidP="00BC371F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31" w:rsidRDefault="00F25B31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3A1742"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:rsidR="00F25B31" w:rsidRDefault="00F25B31" w:rsidP="00BC371F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31" w:rsidRDefault="00F25B31" w:rsidP="00BC371F">
      <w:r>
        <w:separator/>
      </w:r>
    </w:p>
  </w:footnote>
  <w:footnote w:type="continuationSeparator" w:id="0">
    <w:p w:rsidR="00F25B31" w:rsidRDefault="00F25B31" w:rsidP="00BC371F">
      <w:r>
        <w:continuationSeparator/>
      </w:r>
    </w:p>
  </w:footnote>
  <w:footnote w:id="1">
    <w:p w:rsidR="00F25B31" w:rsidRPr="00AC4087" w:rsidRDefault="00F25B31" w:rsidP="00BC371F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późn. zm.).</w:t>
      </w:r>
    </w:p>
  </w:footnote>
  <w:footnote w:id="2">
    <w:p w:rsidR="00F25B31" w:rsidRPr="00AC4087" w:rsidRDefault="00F25B31" w:rsidP="00BC371F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31" w:rsidRPr="005665EB" w:rsidRDefault="00F25B31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FC"/>
    <w:multiLevelType w:val="hybridMultilevel"/>
    <w:tmpl w:val="6CB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30FB"/>
    <w:multiLevelType w:val="hybridMultilevel"/>
    <w:tmpl w:val="9C5CFA7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13A85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54F2"/>
    <w:multiLevelType w:val="hybridMultilevel"/>
    <w:tmpl w:val="54D6FF6E"/>
    <w:styleLink w:val="Kreseczka11241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864"/>
    <w:multiLevelType w:val="hybridMultilevel"/>
    <w:tmpl w:val="0B76F540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138C"/>
    <w:multiLevelType w:val="hybridMultilevel"/>
    <w:tmpl w:val="91AE542C"/>
    <w:lvl w:ilvl="0" w:tplc="8CC4A2A8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7C9E0ECB"/>
    <w:multiLevelType w:val="hybridMultilevel"/>
    <w:tmpl w:val="EC5632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5510"/>
    <w:multiLevelType w:val="hybridMultilevel"/>
    <w:tmpl w:val="7D5E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15"/>
  </w:num>
  <w:num w:numId="10">
    <w:abstractNumId w:val="0"/>
  </w:num>
  <w:num w:numId="11">
    <w:abstractNumId w:val="12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1F"/>
    <w:rsid w:val="000C1D66"/>
    <w:rsid w:val="000F7687"/>
    <w:rsid w:val="00132131"/>
    <w:rsid w:val="0030559B"/>
    <w:rsid w:val="003143E8"/>
    <w:rsid w:val="003A1742"/>
    <w:rsid w:val="004B1A4A"/>
    <w:rsid w:val="00547FDE"/>
    <w:rsid w:val="006E0B8C"/>
    <w:rsid w:val="008564AD"/>
    <w:rsid w:val="009F4E21"/>
    <w:rsid w:val="00BB0F24"/>
    <w:rsid w:val="00BC371F"/>
    <w:rsid w:val="00D8645E"/>
    <w:rsid w:val="00F07428"/>
    <w:rsid w:val="00F25B31"/>
    <w:rsid w:val="00F272DE"/>
    <w:rsid w:val="00F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9C3"/>
  <w15:chartTrackingRefBased/>
  <w15:docId w15:val="{0F812C00-AAF0-494B-854E-F8EEFFC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C371F"/>
  </w:style>
  <w:style w:type="paragraph" w:styleId="Nagwek">
    <w:name w:val="header"/>
    <w:basedOn w:val="Normalny"/>
    <w:link w:val="NagwekZnak"/>
    <w:rsid w:val="00BC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7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C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7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BC371F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BC371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BC37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C371F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BC37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BC371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37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C37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C371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C371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BC371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1F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BC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1F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1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BC371F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  <w:style w:type="numbering" w:customStyle="1" w:styleId="Kreseczka11241">
    <w:name w:val="Kreseczka11241"/>
    <w:rsid w:val="00BC371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5265</Words>
  <Characters>31594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8</cp:revision>
  <cp:lastPrinted>2019-08-05T10:57:00Z</cp:lastPrinted>
  <dcterms:created xsi:type="dcterms:W3CDTF">2019-03-04T12:13:00Z</dcterms:created>
  <dcterms:modified xsi:type="dcterms:W3CDTF">2019-08-05T10:57:00Z</dcterms:modified>
</cp:coreProperties>
</file>