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062D08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5 do SZ</w:t>
      </w:r>
      <w:r w:rsidR="00062D08" w:rsidRPr="00062D08">
        <w:rPr>
          <w:b/>
        </w:rPr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157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222"/>
        <w:gridCol w:w="1276"/>
        <w:gridCol w:w="34"/>
        <w:gridCol w:w="1100"/>
        <w:gridCol w:w="1276"/>
        <w:gridCol w:w="992"/>
        <w:gridCol w:w="34"/>
        <w:gridCol w:w="675"/>
        <w:gridCol w:w="459"/>
        <w:gridCol w:w="425"/>
        <w:gridCol w:w="1242"/>
        <w:gridCol w:w="2551"/>
        <w:gridCol w:w="993"/>
        <w:gridCol w:w="675"/>
        <w:gridCol w:w="1134"/>
        <w:gridCol w:w="1134"/>
      </w:tblGrid>
      <w:tr w:rsidR="00350E03" w:rsidRPr="00C356D4" w:rsidTr="00D17028">
        <w:trPr>
          <w:cantSplit/>
          <w:trHeight w:val="3941"/>
          <w:tblHeader/>
        </w:trPr>
        <w:tc>
          <w:tcPr>
            <w:tcW w:w="48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10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1026" w:type="dxa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459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2551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 złożenia wniosku o dofinansowanie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350E03" w:rsidRPr="00C356D4" w:rsidTr="00D17028">
        <w:tc>
          <w:tcPr>
            <w:tcW w:w="48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>Pracy w Łodzi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 xml:space="preserve">Pracy w Białymstoku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>Pracy w Poznaniu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Pracy i Polityki Społeczn</w:t>
            </w:r>
            <w:r w:rsidRPr="00C356D4">
              <w:rPr>
                <w:rFonts w:cs="Calibri"/>
                <w:color w:val="000000"/>
              </w:rPr>
              <w:lastRenderedPageBreak/>
              <w:t xml:space="preserve">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</w:t>
            </w:r>
            <w:r w:rsidRPr="00C356D4">
              <w:rPr>
                <w:rFonts w:cs="Calibri"/>
                <w:color w:val="000000"/>
              </w:rPr>
              <w:lastRenderedPageBreak/>
              <w:t>Administracji i Cyfryzacji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Kancelaria </w:t>
            </w:r>
            <w:r w:rsidRPr="00C356D4">
              <w:rPr>
                <w:rFonts w:cs="Calibri"/>
                <w:color w:val="000000"/>
              </w:rPr>
              <w:lastRenderedPageBreak/>
              <w:t>Prezesa Rady Ministrów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E65FA8" w:rsidRPr="00C356D4" w:rsidTr="00D17028">
        <w:trPr>
          <w:cantSplit/>
          <w:trHeight w:val="5514"/>
        </w:trPr>
        <w:tc>
          <w:tcPr>
            <w:tcW w:w="480" w:type="dxa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1276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459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42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2551" w:type="dxa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459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42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2551" w:type="dxa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459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425" w:type="dxa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 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459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 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459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5A1827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1100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459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42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2551" w:type="dxa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kw 2014 </w:t>
            </w:r>
          </w:p>
        </w:tc>
        <w:tc>
          <w:tcPr>
            <w:tcW w:w="1134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1134" w:type="dxa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907B8E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1100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459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42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2551" w:type="dxa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67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1134" w:type="dxa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„Argo – zagraniczne programy stypendialne dla urzędników administracji rządowej - pilotaż”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459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42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45B80" w:rsidRPr="00185881" w:rsidTr="00D17028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MPiPS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MPiPS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345B80" w:rsidRPr="00185881" w:rsidTr="00D17028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MPiPS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MPiPS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459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42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2551" w:type="dxa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993" w:type="dxa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45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DF2687" w:rsidRPr="00C356D4" w:rsidTr="00B17C75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1100" w:type="dxa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675" w:type="dxa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459" w:type="dxa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425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2551" w:type="dxa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993" w:type="dxa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675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1134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1134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459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459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zoptymalizowanych, dzięki wsparciu EFS, makroprocesów</w:t>
            </w:r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45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45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459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42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2551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993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459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42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2551" w:type="dxa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1100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459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2551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1100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459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345B80" w:rsidRPr="00A857C0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1100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459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42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listopad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wrzesień 2017</w:t>
            </w:r>
          </w:p>
        </w:tc>
      </w:tr>
      <w:tr w:rsidR="00345B80" w:rsidRPr="00A857C0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KRS – Modyfikacje</w:t>
            </w:r>
          </w:p>
        </w:tc>
        <w:tc>
          <w:tcPr>
            <w:tcW w:w="1100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459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5</w:t>
            </w:r>
            <w:r>
              <w:rPr>
                <w:rFonts w:cs="Calibri"/>
                <w:sz w:val="20"/>
                <w:szCs w:val="20"/>
                <w:lang w:val="en-GB"/>
              </w:rPr>
              <w:t> 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478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200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g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rudzień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s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ierpień 2018</w:t>
            </w:r>
          </w:p>
        </w:tc>
      </w:tr>
      <w:tr w:rsidR="009F3E6C" w:rsidRPr="009F3E6C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Działanie 2.17 Skuteczny wymiar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 xml:space="preserve">Ujednolicenie i poprawa procesów obsługi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interesanta przez Biura Podawcze w powszechnych jednostkach organizacyjnych prokuratury</w:t>
            </w:r>
          </w:p>
        </w:tc>
        <w:tc>
          <w:tcPr>
            <w:tcW w:w="1100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>Ministerstwo Sprawiedli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wości</w:t>
            </w:r>
          </w:p>
        </w:tc>
        <w:tc>
          <w:tcPr>
            <w:tcW w:w="1276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459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9F3E6C" w:rsidRDefault="009F3E6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7 463 487</w:t>
            </w:r>
          </w:p>
        </w:tc>
        <w:tc>
          <w:tcPr>
            <w:tcW w:w="2551" w:type="dxa"/>
            <w:shd w:val="clear" w:color="auto" w:fill="FFFFFF"/>
          </w:tcPr>
          <w:p w:rsidR="009F3E6C" w:rsidRDefault="009F3E6C" w:rsidP="009F3E6C">
            <w:pPr>
              <w:numPr>
                <w:ilvl w:val="0"/>
                <w:numId w:val="5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Liczba sądów oraz jednostek organizacyjnych prokuratury, w których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wdrożono usprawnienia w zakresie zarządzania i  komunikacji</w:t>
            </w:r>
          </w:p>
          <w:p w:rsidR="009F3E6C" w:rsidRDefault="009F3E6C" w:rsidP="009F3E6C">
            <w:pPr>
              <w:numPr>
                <w:ilvl w:val="0"/>
                <w:numId w:val="5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B00C09" w:rsidRDefault="009F3E6C" w:rsidP="009F3E6C">
            <w:pPr>
              <w:numPr>
                <w:ilvl w:val="0"/>
                <w:numId w:val="5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3. 1 000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 xml:space="preserve">III kwartał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</w:tr>
      <w:tr w:rsidR="009F3E6C" w:rsidRPr="00E67A7D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1100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459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42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2551" w:type="dxa"/>
            <w:shd w:val="clear" w:color="auto" w:fill="FFFFFF"/>
          </w:tcPr>
          <w:p w:rsidR="009F3E6C" w:rsidRDefault="004C5816" w:rsidP="00E67A7D">
            <w:pPr>
              <w:numPr>
                <w:ilvl w:val="0"/>
                <w:numId w:val="5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E67A7D">
            <w:pPr>
              <w:numPr>
                <w:ilvl w:val="0"/>
                <w:numId w:val="5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opracowanych w ramach projektu zbiorów metodyk zarządzania określonymi kategoriami spraw</w:t>
            </w:r>
          </w:p>
          <w:p w:rsidR="004C5816" w:rsidRPr="00B00C09" w:rsidRDefault="004C5816" w:rsidP="00E67A7D">
            <w:pPr>
              <w:numPr>
                <w:ilvl w:val="0"/>
                <w:numId w:val="5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pracowników wymiaru sprawiedliwości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9F3E6C" w:rsidRPr="00E67A7D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Utworzenie i wsparcie funkcjonowania platformy cyfrowej ds. pozasądowego  rozwiązywania sporów konsumenckich</w:t>
            </w:r>
          </w:p>
        </w:tc>
        <w:tc>
          <w:tcPr>
            <w:tcW w:w="1100" w:type="dxa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737 581</w:t>
            </w:r>
          </w:p>
        </w:tc>
        <w:tc>
          <w:tcPr>
            <w:tcW w:w="459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737 581</w:t>
            </w:r>
          </w:p>
        </w:tc>
        <w:tc>
          <w:tcPr>
            <w:tcW w:w="42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E67A7D" w:rsidRDefault="00E67A7D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621 633</w:t>
            </w:r>
          </w:p>
        </w:tc>
        <w:tc>
          <w:tcPr>
            <w:tcW w:w="2551" w:type="dxa"/>
            <w:shd w:val="clear" w:color="auto" w:fill="FFFFFF"/>
          </w:tcPr>
          <w:p w:rsidR="009F3E6C" w:rsidRDefault="00E67A7D" w:rsidP="00E03F45">
            <w:pPr>
              <w:numPr>
                <w:ilvl w:val="0"/>
                <w:numId w:val="59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konsumenckich (ADR)</w:t>
            </w:r>
          </w:p>
          <w:p w:rsidR="00E67A7D" w:rsidRPr="00B00C09" w:rsidRDefault="00E67A7D" w:rsidP="00E03F45">
            <w:pPr>
              <w:numPr>
                <w:ilvl w:val="0"/>
                <w:numId w:val="59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 xml:space="preserve">Funkcjonująca platforma cyfrowa ds. alternatywnego </w:t>
            </w:r>
            <w:r w:rsidRPr="00E67A7D">
              <w:rPr>
                <w:rFonts w:cs="Calibri"/>
                <w:sz w:val="20"/>
                <w:szCs w:val="20"/>
              </w:rPr>
              <w:lastRenderedPageBreak/>
              <w:t>rozwiązywania sporów konsumenckich (ADR)</w:t>
            </w:r>
          </w:p>
        </w:tc>
        <w:tc>
          <w:tcPr>
            <w:tcW w:w="993" w:type="dxa"/>
            <w:shd w:val="clear" w:color="auto" w:fill="FFFFFF"/>
          </w:tcPr>
          <w:p w:rsidR="009F3E6C" w:rsidRDefault="00E67A7D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1. 10 000</w:t>
            </w:r>
          </w:p>
          <w:p w:rsidR="00E67A7D" w:rsidRDefault="00E67A7D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III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listopad 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listopad 2022</w:t>
            </w:r>
          </w:p>
        </w:tc>
      </w:tr>
      <w:tr w:rsidR="00CB6CD6" w:rsidRPr="00CB6CD6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459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42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CB6CD6" w:rsidRDefault="00CB6CD6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9 011 887</w:t>
            </w:r>
          </w:p>
        </w:tc>
        <w:tc>
          <w:tcPr>
            <w:tcW w:w="2551" w:type="dxa"/>
            <w:shd w:val="clear" w:color="auto" w:fill="FFFFFF"/>
          </w:tcPr>
          <w:p w:rsidR="00CB6CD6" w:rsidRDefault="00CB6CD6" w:rsidP="00BE717C">
            <w:pPr>
              <w:numPr>
                <w:ilvl w:val="0"/>
                <w:numId w:val="5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Default="00CB6CD6" w:rsidP="00BE717C">
            <w:pPr>
              <w:numPr>
                <w:ilvl w:val="0"/>
                <w:numId w:val="5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 xml:space="preserve">Liczba Biur Obsługi Interesanta w sądach oraz Biur Podawczych w jednostkach organizacyjnych prokuratury objętych </w:t>
            </w:r>
            <w:r w:rsidRPr="00CB6CD6">
              <w:rPr>
                <w:rFonts w:cs="Calibri"/>
                <w:sz w:val="20"/>
                <w:szCs w:val="20"/>
              </w:rPr>
              <w:lastRenderedPageBreak/>
              <w:t>wsparciem EFS</w:t>
            </w:r>
          </w:p>
          <w:p w:rsidR="00CB6CD6" w:rsidRPr="00B00C09" w:rsidRDefault="00CB6CD6" w:rsidP="00BE717C">
            <w:pPr>
              <w:numPr>
                <w:ilvl w:val="0"/>
                <w:numId w:val="5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1. 374</w:t>
            </w:r>
          </w:p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="00BE717C">
              <w:rPr>
                <w:rFonts w:cs="Calibri"/>
                <w:sz w:val="20"/>
                <w:szCs w:val="20"/>
              </w:rPr>
              <w:t>374</w:t>
            </w:r>
          </w:p>
          <w:p w:rsidR="00BE717C" w:rsidRDefault="00BE717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  <w:r w:rsidR="0039152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IV kwartał 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CB6CD6" w:rsidRPr="00227D5B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Wdrożenie nowoczesnych metod badania potrzeb szkoleniowych i kształcenia kluczem do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skutecznego wymiaru sprawiedliwości</w:t>
            </w:r>
          </w:p>
        </w:tc>
        <w:tc>
          <w:tcPr>
            <w:tcW w:w="1100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459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42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2551" w:type="dxa"/>
            <w:shd w:val="clear" w:color="auto" w:fill="FFFFFF"/>
          </w:tcPr>
          <w:p w:rsidR="00CB6CD6" w:rsidRDefault="00BE717C" w:rsidP="00227D5B">
            <w:pPr>
              <w:numPr>
                <w:ilvl w:val="0"/>
                <w:numId w:val="5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Liczba pracowników wymiaru sprawiedliwości, którzy w ramach realizacji projektu podnieśli kompetencje w zakresie zarządzania i komunikacji</w:t>
            </w:r>
          </w:p>
          <w:p w:rsidR="00BE717C" w:rsidRDefault="00227D5B" w:rsidP="00227D5B">
            <w:pPr>
              <w:numPr>
                <w:ilvl w:val="0"/>
                <w:numId w:val="5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lastRenderedPageBreak/>
              <w:t>Liczba pracowników wymiaru sprawiedliwości, objętych wsparciem szkoleniowym w zakresie zarządzania i komunikacji</w:t>
            </w:r>
          </w:p>
          <w:p w:rsidR="00227D5B" w:rsidRDefault="00227D5B" w:rsidP="00227D5B">
            <w:pPr>
              <w:numPr>
                <w:ilvl w:val="0"/>
                <w:numId w:val="5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345B80" w:rsidRPr="00C356D4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Działanie 2.18 Wysokiej jakości usługi </w:t>
            </w:r>
            <w:r w:rsidRPr="00C63ED7">
              <w:rPr>
                <w:strike/>
                <w:sz w:val="20"/>
                <w:szCs w:val="20"/>
              </w:rPr>
              <w:lastRenderedPageBreak/>
              <w:t>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Doskonalenie systemów i standardów zarządzania w </w:t>
            </w:r>
            <w:r w:rsidRPr="00C63ED7">
              <w:rPr>
                <w:strike/>
                <w:sz w:val="20"/>
                <w:szCs w:val="20"/>
              </w:rPr>
              <w:lastRenderedPageBreak/>
              <w:t>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Ministerstwo Administracji i </w:t>
            </w:r>
            <w:r w:rsidRPr="00C63ED7">
              <w:rPr>
                <w:strike/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59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</w:t>
            </w:r>
            <w:r w:rsidRPr="00C63ED7">
              <w:rPr>
                <w:strike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jednostek administracji podatkowej, które wdrożyły narzędzia doskonalenia jakości </w:t>
            </w:r>
            <w:r w:rsidRPr="00C63ED7">
              <w:rPr>
                <w:strike/>
                <w:sz w:val="20"/>
                <w:szCs w:val="20"/>
              </w:rPr>
              <w:lastRenderedPageBreak/>
              <w:t>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urzędów, których pracownicy podnieśli swoje kompetencje w wyniku udziału w  specjalistycznym szkoleniu z zakresu problematyki prawnej i proceduralnej</w:t>
            </w:r>
          </w:p>
        </w:tc>
        <w:tc>
          <w:tcPr>
            <w:tcW w:w="993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II kwartał 2015 </w:t>
            </w:r>
            <w:r w:rsidRPr="00C63ED7">
              <w:rPr>
                <w:strike/>
                <w:sz w:val="20"/>
                <w:szCs w:val="20"/>
              </w:rPr>
              <w:lastRenderedPageBreak/>
              <w:t>r.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lipiec 2015 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9D337F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</w:t>
            </w:r>
            <w:r w:rsidRPr="00F62F46">
              <w:rPr>
                <w:strike/>
                <w:sz w:val="20"/>
                <w:szCs w:val="20"/>
              </w:rPr>
              <w:lastRenderedPageBreak/>
              <w:t>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lastRenderedPageBreak/>
              <w:t xml:space="preserve">Doskonalenie systemów i standardów zarządzania oraz obsługi klienta w </w:t>
            </w:r>
            <w:r w:rsidRPr="00F62F46">
              <w:rPr>
                <w:strike/>
                <w:sz w:val="20"/>
                <w:szCs w:val="20"/>
              </w:rPr>
              <w:lastRenderedPageBreak/>
              <w:t>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Ministerstwo Spraw Wewnętrznych i Administr</w:t>
            </w:r>
            <w:r w:rsidRPr="00051C84">
              <w:rPr>
                <w:strike/>
                <w:sz w:val="20"/>
                <w:szCs w:val="20"/>
              </w:rPr>
              <w:lastRenderedPageBreak/>
              <w:t>acji</w:t>
            </w:r>
          </w:p>
        </w:tc>
        <w:tc>
          <w:tcPr>
            <w:tcW w:w="1276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21.07.2016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59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2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9D337F" w:rsidRPr="00051C84" w:rsidRDefault="009D337F" w:rsidP="002B20E2">
            <w:pPr>
              <w:numPr>
                <w:ilvl w:val="0"/>
                <w:numId w:val="49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administracji podatkowej, które wdrożyły narzędzia doskonalenia jakości funkcjonowania i obsługi </w:t>
            </w:r>
            <w:r w:rsidRPr="00051C84">
              <w:rPr>
                <w:strike/>
                <w:sz w:val="20"/>
                <w:szCs w:val="20"/>
              </w:rPr>
              <w:lastRenderedPageBreak/>
              <w:t>przedsiębiorców</w:t>
            </w:r>
          </w:p>
          <w:p w:rsidR="009D337F" w:rsidRPr="00051C84" w:rsidRDefault="009D337F" w:rsidP="002B20E2">
            <w:pPr>
              <w:numPr>
                <w:ilvl w:val="0"/>
                <w:numId w:val="49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993" w:type="dxa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243FEC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243FEC" w:rsidRPr="00C356D4" w:rsidRDefault="00243FE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w </w:t>
            </w:r>
            <w:r w:rsidRPr="00243FEC">
              <w:rPr>
                <w:sz w:val="20"/>
                <w:szCs w:val="20"/>
              </w:rPr>
              <w:lastRenderedPageBreak/>
              <w:t>administracji skarbowej</w:t>
            </w:r>
          </w:p>
        </w:tc>
        <w:tc>
          <w:tcPr>
            <w:tcW w:w="1100" w:type="dxa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lastRenderedPageBreak/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67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459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42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43FEC" w:rsidRPr="00243FEC" w:rsidRDefault="00243FEC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2551" w:type="dxa"/>
            <w:shd w:val="clear" w:color="auto" w:fill="FFFFFF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>Liczba jednostek administracji podatkowej, które wdrożyły narzędzia doskonalenia jakości funkcjonowania i obsługi przedsiębiorców.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 xml:space="preserve">Liczba </w:t>
            </w:r>
            <w:r w:rsidRPr="00243FEC">
              <w:rPr>
                <w:sz w:val="20"/>
                <w:szCs w:val="20"/>
              </w:rPr>
              <w:lastRenderedPageBreak/>
              <w:t>pracowników i funkcjonariuszy KAS, którzy podnieśli poziom wiedzy z zakresu zagadnień zarządczych i organizacyjnych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problematyki prawnej i proceduralnej</w:t>
            </w:r>
          </w:p>
        </w:tc>
        <w:tc>
          <w:tcPr>
            <w:tcW w:w="993" w:type="dxa"/>
            <w:shd w:val="clear" w:color="auto" w:fill="FFFFFF"/>
          </w:tcPr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243FEC" w:rsidRP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67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1134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1134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Działanie 2.18 Wysokiej jakości </w:t>
            </w:r>
            <w:r w:rsidRPr="00C45BCF">
              <w:rPr>
                <w:sz w:val="20"/>
                <w:szCs w:val="20"/>
              </w:rPr>
              <w:lastRenderedPageBreak/>
              <w:t>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lastRenderedPageBreak/>
              <w:t>Skuteczne standardy nadzoru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Administracji i </w:t>
            </w:r>
            <w:r>
              <w:rPr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</w:t>
            </w:r>
            <w:r w:rsidRPr="00C45BC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które wdrożyły narzędzia poprawy </w:t>
            </w:r>
            <w:r w:rsidRPr="00C45BCF">
              <w:rPr>
                <w:sz w:val="20"/>
                <w:szCs w:val="20"/>
              </w:rPr>
              <w:lastRenderedPageBreak/>
              <w:t>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lastRenderedPageBreak/>
              <w:t xml:space="preserve">II kwartał  2015 </w:t>
            </w:r>
            <w:r w:rsidRPr="00C45BCF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459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459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</w:t>
            </w:r>
            <w:r w:rsidRPr="00BE0530">
              <w:rPr>
                <w:sz w:val="20"/>
                <w:szCs w:val="20"/>
              </w:rPr>
              <w:lastRenderedPageBreak/>
              <w:t>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lastRenderedPageBreak/>
              <w:t>System Monitorowania Usług Publicznych - koncepcja SMUP</w:t>
            </w:r>
          </w:p>
        </w:tc>
        <w:tc>
          <w:tcPr>
            <w:tcW w:w="1100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</w:t>
            </w:r>
            <w:r w:rsidRPr="00FB4BC2">
              <w:rPr>
                <w:sz w:val="20"/>
                <w:szCs w:val="20"/>
              </w:rPr>
              <w:lastRenderedPageBreak/>
              <w:t>acji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9 476 960</w:t>
            </w:r>
          </w:p>
        </w:tc>
        <w:tc>
          <w:tcPr>
            <w:tcW w:w="459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Liczba obszarów usług dla których opracowano koncepcję </w:t>
            </w:r>
            <w:r w:rsidRPr="001065C8">
              <w:rPr>
                <w:sz w:val="20"/>
                <w:szCs w:val="20"/>
              </w:rPr>
              <w:lastRenderedPageBreak/>
              <w:t>monitorowania w ramach systemu monitorowania usług publicznych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459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którzy podnieśli swoje kompetencje w zakresie prawa konkurencji i zmów </w:t>
            </w:r>
            <w:r w:rsidRPr="005737F1">
              <w:rPr>
                <w:sz w:val="20"/>
                <w:szCs w:val="20"/>
              </w:rPr>
              <w:lastRenderedPageBreak/>
              <w:t>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objętych wsparciem </w:t>
            </w:r>
            <w:r w:rsidRPr="005737F1">
              <w:rPr>
                <w:sz w:val="20"/>
                <w:szCs w:val="20"/>
              </w:rPr>
              <w:lastRenderedPageBreak/>
              <w:t>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Platforma e-learningowa poświęcona zmowom przetargowym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675" w:type="dxa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4417EB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 xml:space="preserve">Powszechny dostęp do rejestru wniosków i decyzji o pozwoleniu na budowę oraz </w:t>
            </w:r>
            <w:r w:rsidRPr="004417EB">
              <w:rPr>
                <w:sz w:val="20"/>
                <w:szCs w:val="20"/>
              </w:rPr>
              <w:lastRenderedPageBreak/>
              <w:t>utworzenie internetowego serwisu informacyjnego GUNB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</w:t>
            </w:r>
            <w:r w:rsidRPr="004417EB">
              <w:rPr>
                <w:sz w:val="20"/>
                <w:szCs w:val="20"/>
              </w:rPr>
              <w:lastRenderedPageBreak/>
              <w:t>budowlanego lub wyrobów budowlanych lub obsługi nowoutworzonych/zmodernizowanych rejestrów 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4417EB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Uruchomienie systemu rejestrów w obszarze charakterystyki energetycznej budynków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>– Departament Budownict</w:t>
            </w:r>
            <w:r w:rsidRPr="004417E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</w:t>
            </w:r>
            <w:r w:rsidRPr="009A61CB">
              <w:rPr>
                <w:sz w:val="20"/>
                <w:szCs w:val="20"/>
              </w:rPr>
              <w:lastRenderedPageBreak/>
              <w:t>nnego oraz mieszkalnictwa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</w:t>
            </w:r>
            <w:r w:rsidRPr="00C13BB6">
              <w:rPr>
                <w:sz w:val="20"/>
                <w:szCs w:val="20"/>
              </w:rPr>
              <w:lastRenderedPageBreak/>
              <w:t>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2 210 164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t xml:space="preserve">Opracowanie praktycznego informatora dla inwestorów w zakresie prawa budowlanego (z uwzględnieniem możliwości zastosowania środków poprawy efektywności energetycznej w </w:t>
            </w:r>
            <w:r w:rsidRPr="007457C5">
              <w:rPr>
                <w:sz w:val="20"/>
                <w:szCs w:val="20"/>
              </w:rPr>
              <w:lastRenderedPageBreak/>
              <w:t>budynkach w tym wprowadzanie innowacyjnych technologii).</w:t>
            </w:r>
          </w:p>
        </w:tc>
        <w:tc>
          <w:tcPr>
            <w:tcW w:w="1100" w:type="dxa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675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459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2551" w:type="dxa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Opracowany praktyczny informator dla inwestorów w zakresie prawa budowlanego wraz z jego dystrybucją</w:t>
            </w:r>
          </w:p>
        </w:tc>
        <w:tc>
          <w:tcPr>
            <w:tcW w:w="993" w:type="dxa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EC0BF1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lastRenderedPageBreak/>
              <w:t xml:space="preserve">Opracowanie projektów planów zagospodarowania przestrzennego polskich obszarów morskich (morskich </w:t>
            </w:r>
            <w:r w:rsidRPr="00E41877">
              <w:rPr>
                <w:sz w:val="20"/>
                <w:szCs w:val="20"/>
              </w:rPr>
              <w:lastRenderedPageBreak/>
              <w:t xml:space="preserve">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i Zalewu Kamieńskiego.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459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Liczba opracowanych </w:t>
            </w:r>
            <w:r w:rsidRPr="00E41877">
              <w:rPr>
                <w:sz w:val="20"/>
                <w:szCs w:val="20"/>
              </w:rPr>
              <w:lastRenderedPageBreak/>
              <w:t>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ED1278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Zainspiruj naszą przestrzeń – programy szkoleniowe i publikacje dla planistów </w:t>
            </w:r>
            <w:r w:rsidRPr="00ED1278">
              <w:rPr>
                <w:sz w:val="20"/>
                <w:szCs w:val="20"/>
              </w:rPr>
              <w:lastRenderedPageBreak/>
              <w:t>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 xml:space="preserve">– Departament Polityki </w:t>
            </w:r>
            <w:r w:rsidRPr="00ED1278">
              <w:rPr>
                <w:sz w:val="20"/>
                <w:szCs w:val="20"/>
              </w:rPr>
              <w:lastRenderedPageBreak/>
              <w:t>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</w:t>
            </w:r>
            <w:r w:rsidRPr="00C13BB6">
              <w:rPr>
                <w:sz w:val="20"/>
                <w:szCs w:val="20"/>
              </w:rPr>
              <w:lastRenderedPageBreak/>
              <w:t>arowania przestrzennego oraz mieszkalnictwa/minister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2551" w:type="dxa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</w:t>
            </w:r>
            <w:r w:rsidRPr="00ED1278">
              <w:rPr>
                <w:sz w:val="20"/>
                <w:szCs w:val="20"/>
              </w:rPr>
              <w:lastRenderedPageBreak/>
              <w:t>upowszechnionych rozwiązań z zakresu Kształtowania przestrzeni miejskiej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geoinformacji, monitoringu infrastruktury informacji przestrzennej i udostępniania danych z </w:t>
            </w:r>
            <w:r w:rsidRPr="00ED1278">
              <w:rPr>
                <w:sz w:val="20"/>
                <w:szCs w:val="20"/>
              </w:rPr>
              <w:lastRenderedPageBreak/>
              <w:t>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maj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Wspólna przestrzeń – wspólne dobro – system monitorowania zmian w zagospodarowaniu przestrzennym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</w:t>
            </w:r>
            <w:r w:rsidRPr="00C13BB6">
              <w:rPr>
                <w:sz w:val="20"/>
                <w:szCs w:val="20"/>
              </w:rPr>
              <w:lastRenderedPageBreak/>
              <w:t>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Liczba upublicznionych na stronie MIiR baz wskaźników, będących podstawą funkcjonowania systemu monitorowania procesów przestrzennych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5D47F9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Podnoszenie kompetencji cyfrowych e-administracji – programy szkoleniowe i publikacje dla użytkowników infrastruktur</w:t>
            </w:r>
            <w:r w:rsidRPr="005D47F9">
              <w:rPr>
                <w:sz w:val="20"/>
                <w:szCs w:val="20"/>
              </w:rPr>
              <w:lastRenderedPageBreak/>
              <w:t>y informacji przestrzennej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</w:t>
            </w:r>
            <w:r w:rsidRPr="005D47F9">
              <w:rPr>
                <w:sz w:val="20"/>
                <w:szCs w:val="20"/>
              </w:rPr>
              <w:lastRenderedPageBreak/>
              <w:t>wykorzystania TIK (ICT) w zakresie geoinformacji, monitoringu infrastruktury informacji przestrzennej i udostępniania danych z 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2A6461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</w:t>
            </w:r>
            <w:r w:rsidRPr="005D47F9">
              <w:rPr>
                <w:sz w:val="20"/>
                <w:szCs w:val="20"/>
              </w:rPr>
              <w:lastRenderedPageBreak/>
              <w:t>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Projekty planów zagospodarowania przestrzennego dla </w:t>
            </w:r>
            <w:r>
              <w:rPr>
                <w:sz w:val="20"/>
                <w:szCs w:val="20"/>
              </w:rPr>
              <w:lastRenderedPageBreak/>
              <w:t>obszarów portowych, Zalewu Wiślanego oraz projekty planów szczegółowych dla wybranych akwenów</w:t>
            </w:r>
          </w:p>
        </w:tc>
        <w:tc>
          <w:tcPr>
            <w:tcW w:w="1100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459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2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2551" w:type="dxa"/>
            <w:shd w:val="clear" w:color="auto" w:fill="FFFFFF"/>
          </w:tcPr>
          <w:p w:rsidR="002A6461" w:rsidRDefault="002A6461" w:rsidP="002A6461">
            <w:pPr>
              <w:pStyle w:val="Akapitzlist"/>
              <w:numPr>
                <w:ilvl w:val="0"/>
                <w:numId w:val="66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2A6461">
            <w:pPr>
              <w:pStyle w:val="Akapitzlist"/>
              <w:numPr>
                <w:ilvl w:val="0"/>
                <w:numId w:val="66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Liczba opracowanych 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2A6461" w:rsidRDefault="002A6461" w:rsidP="00A602AB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1,1%</w:t>
            </w:r>
          </w:p>
          <w:p w:rsidR="002A6461" w:rsidRDefault="002A6461" w:rsidP="00A602AB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BA7C5B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</w:t>
            </w:r>
            <w:r w:rsidRPr="00BA7C5B">
              <w:rPr>
                <w:sz w:val="20"/>
                <w:szCs w:val="20"/>
              </w:rPr>
              <w:lastRenderedPageBreak/>
              <w:t>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Opracowanie projektów planów zagospodarowania przestrzennego polskich </w:t>
            </w:r>
            <w:r>
              <w:rPr>
                <w:sz w:val="20"/>
                <w:szCs w:val="20"/>
              </w:rPr>
              <w:lastRenderedPageBreak/>
              <w:t>obszarów morskich – porty w obszarze kompetencji Dyrektora Urzędu Morskiego w Szczecinie</w:t>
            </w:r>
          </w:p>
        </w:tc>
        <w:tc>
          <w:tcPr>
            <w:tcW w:w="1100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Urząd Morski w Szczecinie </w:t>
            </w:r>
          </w:p>
        </w:tc>
        <w:tc>
          <w:tcPr>
            <w:tcW w:w="1276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459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425" w:type="dxa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A7C5B" w:rsidRPr="00F62F46" w:rsidRDefault="00BA7C5B" w:rsidP="00F62F46">
            <w:pPr>
              <w:pStyle w:val="Akapitzlist"/>
              <w:numPr>
                <w:ilvl w:val="0"/>
                <w:numId w:val="65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2551" w:type="dxa"/>
            <w:shd w:val="clear" w:color="auto" w:fill="FFFFFF"/>
          </w:tcPr>
          <w:p w:rsidR="00BA7C5B" w:rsidRDefault="00BA7C5B" w:rsidP="00F62F46">
            <w:pPr>
              <w:pStyle w:val="Akapitzlist"/>
              <w:numPr>
                <w:ilvl w:val="0"/>
                <w:numId w:val="68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F62F46">
            <w:pPr>
              <w:pStyle w:val="Akapitzlist"/>
              <w:numPr>
                <w:ilvl w:val="0"/>
                <w:numId w:val="68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</w:t>
            </w:r>
            <w:r>
              <w:rPr>
                <w:szCs w:val="20"/>
              </w:rPr>
              <w:lastRenderedPageBreak/>
              <w:t>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BA7C5B" w:rsidRDefault="00A602AB" w:rsidP="00F62F46">
            <w:pPr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0,1%</w:t>
            </w:r>
          </w:p>
          <w:p w:rsidR="00A602AB" w:rsidRDefault="00A602AB" w:rsidP="00F62F46">
            <w:pPr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E32127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E32127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Wzmocnienie potencjału legislacyjnego w obszarze procesu inwestycyjno-budowlaneg</w:t>
            </w:r>
            <w:r>
              <w:rPr>
                <w:sz w:val="20"/>
                <w:szCs w:val="20"/>
              </w:rPr>
              <w:lastRenderedPageBreak/>
              <w:t>o – etap II</w:t>
            </w:r>
          </w:p>
        </w:tc>
        <w:tc>
          <w:tcPr>
            <w:tcW w:w="1100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Ministerstwo Infrastruktury i Budownictwa, Departament </w:t>
            </w:r>
            <w:r>
              <w:rPr>
                <w:sz w:val="20"/>
                <w:szCs w:val="20"/>
              </w:rPr>
              <w:lastRenderedPageBreak/>
              <w:t>Budownictwa</w:t>
            </w:r>
          </w:p>
        </w:tc>
        <w:tc>
          <w:tcPr>
            <w:tcW w:w="1276" w:type="dxa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675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459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425" w:type="dxa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2551" w:type="dxa"/>
            <w:shd w:val="clear" w:color="auto" w:fill="FFFFFF"/>
          </w:tcPr>
          <w:p w:rsidR="00E32127" w:rsidRPr="00F62F46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przygotowanych propozycji zmian legislacyjnych w obszarze warunków technicznych.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przygotowanych raportów obejmujących „najlepsze praktyki” w obszarze charakterystyki energetycznej budynków.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inwestycyjno-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budowlanego.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30579E" w:rsidRPr="00F62F46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„pogłębionych wizyt studyjnych” („job shadowing”), na których zostaną zebrane najlepsze praktyki w zakresie charakterystyki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345B80" w:rsidRPr="00C356D4" w:rsidTr="00D17028">
        <w:trPr>
          <w:cantSplit/>
          <w:trHeight w:val="3347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45B80" w:rsidRPr="00C356D4" w:rsidTr="00D17028">
        <w:trPr>
          <w:cantSplit/>
          <w:trHeight w:val="343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345B80" w:rsidRPr="00C356D4" w:rsidTr="00D17028">
        <w:trPr>
          <w:cantSplit/>
          <w:trHeight w:val="864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KOWEZiU</w:t>
            </w:r>
          </w:p>
        </w:tc>
        <w:tc>
          <w:tcPr>
            <w:tcW w:w="675" w:type="dxa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(jst)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D17028">
        <w:trPr>
          <w:cantSplit/>
          <w:trHeight w:val="538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KOWEZiU</w:t>
            </w:r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345B80" w:rsidRPr="00C356D4" w:rsidTr="00D17028">
        <w:trPr>
          <w:cantSplit/>
          <w:trHeight w:val="9213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D17028">
        <w:trPr>
          <w:cantSplit/>
          <w:trHeight w:val="4252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D17028">
        <w:trPr>
          <w:cantSplit/>
          <w:trHeight w:val="3105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D17028">
        <w:trPr>
          <w:cantSplit/>
          <w:trHeight w:val="6378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D17028">
        <w:trPr>
          <w:cantSplit/>
          <w:trHeight w:val="411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345B80" w:rsidRPr="00C864C8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864C8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992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356D4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C24A8" w:rsidRPr="00C864C8" w:rsidRDefault="006C24A8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459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6C24A8" w:rsidRPr="00C864C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864C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459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6C24A8" w:rsidRPr="00C864C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01.08.2015 r.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28.02.2022 r.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864C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6C24A8" w:rsidRPr="00C864C8" w:rsidRDefault="006C24A8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/>
                <w:sz w:val="16"/>
                <w:szCs w:val="16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459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6C24A8" w:rsidRPr="00C864C8" w:rsidRDefault="006C24A8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6010B6" w:rsidRDefault="006C24A8" w:rsidP="006010B6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459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237FD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C24A8" w:rsidRPr="00C864C8" w:rsidRDefault="006C24A8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459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237F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6C24A8" w:rsidRPr="003D5C51" w:rsidTr="00CB40EB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6C24A8" w:rsidRPr="003D5C51" w:rsidTr="00CB40EB">
        <w:trPr>
          <w:cantSplit/>
          <w:trHeight w:val="192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C24A8" w:rsidRPr="001E2C06" w:rsidRDefault="006C24A8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6C24A8" w:rsidRPr="003D5C51" w:rsidTr="00034914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6C24A8" w:rsidRPr="001E2C06" w:rsidRDefault="006C24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6C24A8" w:rsidRPr="001E2C06" w:rsidRDefault="006C24A8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C24A8" w:rsidRPr="003D5C51" w:rsidTr="00C639F2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6C24A8" w:rsidRPr="003D5C51" w:rsidTr="00C639F2">
        <w:trPr>
          <w:cantSplit/>
          <w:trHeight w:val="212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1100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425" w:type="dxa"/>
            <w:shd w:val="clear" w:color="auto" w:fill="FFFFFF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6C24A8" w:rsidRPr="003D5C51" w:rsidTr="00C639F2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1100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2018</w:t>
            </w:r>
          </w:p>
        </w:tc>
      </w:tr>
      <w:tr w:rsidR="006C24A8" w:rsidRPr="003D5C51" w:rsidTr="002D5A52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Wspieranie procesów konsolidacji uczelni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216 010 467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utworzonych związków międzyuczelnianych lub zrealizowanych procesów konsolidacji uczelni dzięki</w:t>
            </w:r>
          </w:p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742C4">
              <w:rPr>
                <w:rFonts w:ascii="Arial" w:hAnsi="Arial" w:cs="Arial"/>
                <w:sz w:val="16"/>
                <w:szCs w:val="16"/>
              </w:rPr>
              <w:t>Liczba uczelni objętych wsparciem EFS w procesie tworzenia związków międzyuczelnianych lub w procesie konsolidacji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6C24A8" w:rsidRPr="003D5C51" w:rsidTr="007D0BE1">
        <w:trPr>
          <w:cantSplit/>
          <w:trHeight w:val="297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E2C06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Jednolitego Systemu Antyplagiatowego i jego wdrożenie oraz obsługa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6C24A8" w:rsidRPr="001E2C06" w:rsidRDefault="006C24A8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przygotowanych centralnych systemów antyplagiatowych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6C24A8" w:rsidRPr="001E2C06" w:rsidRDefault="006C24A8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6C24A8" w:rsidRPr="003D5C51" w:rsidTr="00C639F2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E2C06" w:rsidRDefault="006C24A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Default="006C24A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6C24A8" w:rsidRPr="001E2C06" w:rsidRDefault="006C24A8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DA51AB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B232B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C2094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459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250AFC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7A05C0" w:rsidRDefault="006C24A8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6C24A8" w:rsidRDefault="006C24A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6C24A8" w:rsidRPr="007A05C0" w:rsidRDefault="006C24A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7A05C0" w:rsidRDefault="006C24A8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6C24A8" w:rsidRPr="00250AFC" w:rsidRDefault="006C24A8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50AFC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376A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>2.12 Zwiększenie wiedzy o potrzebach kwalifikacyjno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A05C0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6C24A8" w:rsidRPr="007A05C0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>Działanie 2.12 Zwiększenie wiedzy o potrzebach kwalifikacyjno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6C24A8" w:rsidRPr="00F62F46" w:rsidRDefault="006C24A8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>
              <w:t>17 października 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7A05C0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7A05C0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556B76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376A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>Działanie 2.12 Zwiększenie wiedzy o potrzebach kwalifikacyjno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556B7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DD0B7A" w:rsidRDefault="006C24A8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B3376A" w:rsidRDefault="006C24A8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2B1F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FE4F11" w:rsidRDefault="006C24A8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6C24A8" w:rsidRPr="00C356D4" w:rsidTr="00D17028">
        <w:trPr>
          <w:cantSplit/>
          <w:trHeight w:val="381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FE4F11" w:rsidRDefault="006C24A8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6C24A8" w:rsidRPr="00C356D4" w:rsidTr="00D17028">
        <w:trPr>
          <w:cantSplit/>
          <w:trHeight w:val="3331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6C24A8" w:rsidRPr="00C356D4" w:rsidTr="00D17028">
        <w:trPr>
          <w:cantSplit/>
          <w:trHeight w:val="532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77800" w:rsidRDefault="006C24A8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6C24A8" w:rsidRPr="00E2308B" w:rsidRDefault="006C24A8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BC52A8" w:rsidRDefault="006C24A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6C24A8" w:rsidRPr="00C356D4" w:rsidTr="00D17028">
        <w:trPr>
          <w:cantSplit/>
          <w:trHeight w:val="3099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D17028">
        <w:trPr>
          <w:cantSplit/>
          <w:trHeight w:val="5467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0037D" w:rsidRDefault="006C24A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D17028">
        <w:trPr>
          <w:cantSplit/>
          <w:trHeight w:val="4287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315C6" w:rsidRDefault="006C24A8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6C24A8" w:rsidRDefault="006C24A8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387DCF" w:rsidRDefault="006C24A8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387DCF" w:rsidRDefault="006C24A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EB2ADA" w:rsidRDefault="006C24A8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321B4D" w:rsidRDefault="006C24A8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Default="006C24A8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EB2ADA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6C24A8" w:rsidRPr="00EB2ADA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6C24A8" w:rsidRPr="00C356D4" w:rsidTr="00D17028">
        <w:trPr>
          <w:cantSplit/>
          <w:trHeight w:val="355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A35D4" w:rsidRDefault="006C24A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6C24A8" w:rsidRPr="00CA35D4" w:rsidRDefault="006C24A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6C24A8" w:rsidRPr="00CA35D4" w:rsidRDefault="006C24A8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z późn. zm.).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D17028">
        <w:trPr>
          <w:cantSplit/>
          <w:trHeight w:val="5088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0550" w:rsidRDefault="006C24A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6C24A8" w:rsidRPr="00B30550" w:rsidRDefault="006C24A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6C24A8" w:rsidRDefault="006C24A8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6C24A8" w:rsidRPr="00B3376A" w:rsidRDefault="006C24A8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D17028">
        <w:trPr>
          <w:cantSplit/>
          <w:trHeight w:val="462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0F4E9D" w:rsidRDefault="006C24A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D17028">
        <w:trPr>
          <w:cantSplit/>
          <w:trHeight w:val="386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0F4E9D" w:rsidRDefault="006C24A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6C24A8" w:rsidRPr="00C356D4" w:rsidTr="00D17028">
        <w:trPr>
          <w:cantSplit/>
          <w:trHeight w:val="297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06434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warmińsko-mazurskeigo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DB37C9" w:rsidRDefault="006C24A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6C24A8" w:rsidRPr="0000778C" w:rsidRDefault="006C24A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00778C" w:rsidRDefault="006C24A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459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05D55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905D55" w:rsidRDefault="006C24A8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1100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905D55" w:rsidRDefault="006C24A8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459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905D55" w:rsidRDefault="006C24A8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905D55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05D55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905D55" w:rsidRDefault="006C24A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6C24A8" w:rsidRPr="00C356D4" w:rsidTr="00D17028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91B25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BF277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933676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8C0F00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4A8" w:rsidRPr="00C356D4" w:rsidTr="00D17028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05D55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905D55" w:rsidRDefault="006C24A8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1100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905D55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459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905D55" w:rsidRDefault="006C24A8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6C24A8" w:rsidRPr="00905D55" w:rsidRDefault="006C24A8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6C24A8" w:rsidRPr="00905D55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905D55" w:rsidRDefault="006C24A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C24A8" w:rsidRPr="00C356D4" w:rsidTr="00D17028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91B25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6C24A8" w:rsidRPr="00BF277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Pr="0093367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8C0F00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54DBA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6C24A8" w:rsidRPr="00854DBA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459" w:type="dxa"/>
            <w:shd w:val="clear" w:color="auto" w:fill="FFFFFF"/>
          </w:tcPr>
          <w:p w:rsidR="006C24A8" w:rsidRPr="00854DBA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854DBA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6C24A8" w:rsidRDefault="006C24A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6C24A8" w:rsidRPr="003134C4" w:rsidRDefault="006C24A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6C24A8" w:rsidRPr="00854DB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54DBA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Pr="00854DBA" w:rsidRDefault="006C24A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Pr="00854DBA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A1370F" w:rsidRDefault="006C24A8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6C24A8" w:rsidRPr="00A1370F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459" w:type="dxa"/>
            <w:shd w:val="clear" w:color="auto" w:fill="FFFFFF"/>
          </w:tcPr>
          <w:p w:rsidR="006C24A8" w:rsidRPr="00A1370F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6C24A8" w:rsidRPr="00831855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C24A8" w:rsidRPr="000C6CCC" w:rsidRDefault="006C24A8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KOWEZiU</w:t>
            </w:r>
          </w:p>
        </w:tc>
        <w:tc>
          <w:tcPr>
            <w:tcW w:w="675" w:type="dxa"/>
            <w:shd w:val="clear" w:color="auto" w:fill="FFFFFF"/>
          </w:tcPr>
          <w:p w:rsidR="006C24A8" w:rsidRPr="000C6CCC" w:rsidRDefault="006C24A8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459" w:type="dxa"/>
            <w:shd w:val="clear" w:color="auto" w:fill="FFFFFF"/>
          </w:tcPr>
          <w:p w:rsidR="006C24A8" w:rsidRPr="000C6CCC" w:rsidRDefault="006C24A8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0C6CCC" w:rsidRDefault="006C24A8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6C24A8" w:rsidRPr="000C6CC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0C6CCC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6C24A8" w:rsidRPr="000C6CCC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134" w:type="dxa"/>
            <w:shd w:val="clear" w:color="auto" w:fill="FFFFFF"/>
          </w:tcPr>
          <w:p w:rsidR="006C24A8" w:rsidRPr="000C6CC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459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6B5101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6C24A8" w:rsidRPr="00F06354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459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6C24A8" w:rsidRPr="00277FC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77FC6" w:rsidRDefault="006C24A8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realizacji badań panelowych osób w wieku 50 lat i więcej w międzynarodowym projekcie Survey of Health, Ageing and Retirement in Europe (SHARE)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459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277FC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E7235D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E7235D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Białystiok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5573C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niepełnosprawnościoami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A27D07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A3260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Default="006C24A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A3260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>Departament Wdrażania Europejskiego Funduszu Społecznego, 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>Departament Pomocy i Integracji Społecznej, MRPiPS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6C24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44D47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6C24A8" w:rsidRPr="00032EF8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1100" w:type="dxa"/>
            <w:shd w:val="clear" w:color="auto" w:fill="auto"/>
          </w:tcPr>
          <w:p w:rsidR="006C24A8" w:rsidRPr="00032EF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032EF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459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76 041 378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032EF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748</w:t>
            </w:r>
          </w:p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245C">
              <w:rPr>
                <w:rFonts w:ascii="Arial" w:hAnsi="Arial" w:cs="Arial"/>
                <w:sz w:val="18"/>
                <w:szCs w:val="18"/>
              </w:rPr>
              <w:t>314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6C24A8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032EF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32EF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32EF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44D47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459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5245C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D17028">
        <w:trPr>
          <w:cantSplit/>
          <w:trHeight w:val="6391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23CF3" w:rsidRDefault="006C24A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C24A8" w:rsidRDefault="006C24A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41 781 946,00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4 1061 592</w:t>
            </w:r>
            <w:r w:rsidRPr="009A22EF">
              <w:rPr>
                <w:rFonts w:ascii="Arial" w:hAnsi="Arial" w:cs="Arial"/>
                <w:sz w:val="18"/>
                <w:szCs w:val="18"/>
              </w:rPr>
              <w:t>3 071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2 840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3 780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1 232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951</w:t>
            </w:r>
          </w:p>
          <w:p w:rsidR="006C24A8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1 499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A22EF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C24A8" w:rsidRPr="00123CF3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6C24A8" w:rsidRPr="00C02140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6C24A8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02140" w:rsidRDefault="006C24A8" w:rsidP="00E07A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C6C5A" w:rsidRDefault="006C24A8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6C24A8" w:rsidRPr="001C6C5A" w:rsidRDefault="006C24A8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6C24A8" w:rsidRPr="001C6C5A" w:rsidRDefault="006C24A8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6C24A8" w:rsidRPr="00123CF3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75 142 975,00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 xml:space="preserve">Liczba osób bezrobotnych, uczestniczących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w kształceniu/szkoleniu lub uzyskujących kwalifikacje lub pracujących (łącznie z pracującymi na własny rachunek)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6C24A8" w:rsidRPr="001315C6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5373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4944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6951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2116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1622</w:t>
            </w:r>
          </w:p>
          <w:p w:rsidR="006C24A8" w:rsidRDefault="006C24A8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2584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02140" w:rsidRDefault="006C24A8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123CF3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495466" w:rsidRDefault="006C24A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6C24A8" w:rsidRPr="00C02140" w:rsidRDefault="006C24A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6C24A8" w:rsidRPr="00495466" w:rsidRDefault="006C24A8" w:rsidP="0049546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2551" w:type="dxa"/>
            <w:shd w:val="clear" w:color="auto" w:fill="FFFFFF"/>
          </w:tcPr>
          <w:p w:rsidR="006C24A8" w:rsidRPr="00495466" w:rsidRDefault="006C24A8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6C24A8" w:rsidRPr="00495466" w:rsidRDefault="006C24A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6C24A8" w:rsidRPr="001315C6" w:rsidRDefault="006C24A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123CF3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90 239 460</w:t>
            </w:r>
          </w:p>
        </w:tc>
        <w:tc>
          <w:tcPr>
            <w:tcW w:w="2551" w:type="dxa"/>
            <w:shd w:val="clear" w:color="auto" w:fill="FFFFFF"/>
          </w:tcPr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6C24A8" w:rsidRPr="007D326C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6C24A8" w:rsidRPr="00A12F2E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6C24A8" w:rsidRPr="001315C6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993" w:type="dxa"/>
            <w:shd w:val="clear" w:color="auto" w:fill="FFFFFF"/>
          </w:tcPr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9193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23CF3" w:rsidRDefault="006C24A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C24A8" w:rsidRPr="001315C6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6C24A8" w:rsidRPr="00D1702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17028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459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79 039 172</w:t>
            </w:r>
          </w:p>
        </w:tc>
        <w:tc>
          <w:tcPr>
            <w:tcW w:w="2551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programu3. Liczba osób bezrobotnych, które ukończyły interwencję wspieraną w ramach Inicjatywy na rzecz zatrudnienia ludzi młodych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C24A8" w:rsidRPr="00D17028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8054</w:t>
            </w:r>
          </w:p>
          <w:p w:rsidR="006C24A8" w:rsidRPr="00D1702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3089</w:t>
            </w:r>
          </w:p>
        </w:tc>
        <w:tc>
          <w:tcPr>
            <w:tcW w:w="675" w:type="dxa"/>
            <w:shd w:val="clear" w:color="auto" w:fill="FFFFFF"/>
          </w:tcPr>
          <w:p w:rsidR="006C24A8" w:rsidRPr="00D1702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459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6C24A8" w:rsidRPr="00D83A0E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459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55 445 593,00</w:t>
            </w:r>
          </w:p>
        </w:tc>
        <w:tc>
          <w:tcPr>
            <w:tcW w:w="2551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4 197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3 861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5 148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1 639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1 248</w:t>
            </w:r>
          </w:p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D326C">
              <w:rPr>
                <w:rFonts w:ascii="Arial" w:hAnsi="Arial" w:cs="Arial"/>
                <w:sz w:val="18"/>
                <w:szCs w:val="18"/>
              </w:rPr>
              <w:t>991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5 663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2 173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459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6C24A8" w:rsidRPr="007D326C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459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32 407 473,91</w:t>
            </w:r>
          </w:p>
        </w:tc>
        <w:tc>
          <w:tcPr>
            <w:tcW w:w="2551" w:type="dxa"/>
            <w:shd w:val="clear" w:color="auto" w:fill="FFFFFF"/>
          </w:tcPr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3368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1292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30.06.2018 r.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459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7D326C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48 007 736</w:t>
            </w:r>
          </w:p>
        </w:tc>
        <w:tc>
          <w:tcPr>
            <w:tcW w:w="459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48 007 736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44 114 308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C24A8" w:rsidRPr="007D326C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4494</w:t>
            </w:r>
          </w:p>
          <w:p w:rsidR="006C24A8" w:rsidRPr="007D326C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1707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Czerwiec 2018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6C24A8" w:rsidRPr="007D326C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459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6C24A8" w:rsidRPr="007D326C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6C24A8" w:rsidRPr="007D326C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459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2551" w:type="dxa"/>
            <w:shd w:val="clear" w:color="auto" w:fill="FFFFFF"/>
          </w:tcPr>
          <w:p w:rsidR="006C24A8" w:rsidRPr="00A12F2E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6C24A8" w:rsidRPr="00A12F2E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6C24A8" w:rsidRPr="007D326C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A12F2E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6C24A8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6C24A8" w:rsidRPr="007D326C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  <w:p w:rsidR="006C24A8" w:rsidRPr="008C4E80" w:rsidRDefault="006C24A8" w:rsidP="008C4E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459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2551" w:type="dxa"/>
            <w:shd w:val="clear" w:color="auto" w:fill="FFFFFF"/>
          </w:tcPr>
          <w:p w:rsidR="006C24A8" w:rsidRPr="008C4E80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459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2551" w:type="dxa"/>
            <w:shd w:val="clear" w:color="auto" w:fill="FFFFFF"/>
          </w:tcPr>
          <w:p w:rsidR="006C24A8" w:rsidRPr="00736E86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6C24A8" w:rsidRPr="00736E86" w:rsidRDefault="006C24A8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6C24A8" w:rsidRPr="00C356D4" w:rsidTr="00D83A0E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459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2551" w:type="dxa"/>
            <w:shd w:val="clear" w:color="auto" w:fill="FFFFFF"/>
          </w:tcPr>
          <w:p w:rsidR="006C24A8" w:rsidRPr="00324232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6C24A8" w:rsidRPr="00324232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6C24A8" w:rsidRPr="00324232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Pr="00324232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C24A8" w:rsidRPr="00324232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6C24A8" w:rsidRPr="00324232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Pr="00324232" w:rsidRDefault="006C24A8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6C24A8" w:rsidRPr="007D326C" w:rsidRDefault="006C24A8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 2016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24232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C24A8" w:rsidRPr="00324232" w:rsidRDefault="006C24A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6C24A8" w:rsidRPr="00324232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24232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459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2551" w:type="dxa"/>
            <w:shd w:val="clear" w:color="auto" w:fill="FFFFFF"/>
          </w:tcPr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6C24A8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6C24A8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 objętych wsparciem w ramach programów mobilności ponadnarodowej, zamieszkujących obszary defaworyzowane.</w:t>
            </w:r>
          </w:p>
        </w:tc>
        <w:tc>
          <w:tcPr>
            <w:tcW w:w="993" w:type="dxa"/>
            <w:shd w:val="clear" w:color="auto" w:fill="FFFFFF"/>
          </w:tcPr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 2016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5168" w:rsidRDefault="006C24A8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675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459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D83A0E">
            <w:pPr>
              <w:numPr>
                <w:ilvl w:val="0"/>
                <w:numId w:val="52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6C24A8" w:rsidRPr="00C85168" w:rsidRDefault="006C24A8" w:rsidP="00D83A0E">
            <w:pPr>
              <w:numPr>
                <w:ilvl w:val="0"/>
                <w:numId w:val="52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1134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1134" w:type="dxa"/>
            <w:shd w:val="clear" w:color="auto" w:fill="FFFFFF"/>
          </w:tcPr>
          <w:p w:rsidR="006C24A8" w:rsidRPr="00C85168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C24A8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C24A8" w:rsidRDefault="006C24A8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D67ED" w:rsidRDefault="006C24A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C24A8" w:rsidRPr="00125F97" w:rsidRDefault="006C24A8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25F97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459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D83A0E">
            <w:pPr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6C24A8" w:rsidRDefault="006C24A8" w:rsidP="00D83A0E">
            <w:pPr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6C24A8" w:rsidRPr="00125F97" w:rsidRDefault="006C24A8" w:rsidP="00D83A0E">
            <w:pPr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75" w:type="dxa"/>
            <w:shd w:val="clear" w:color="auto" w:fill="FFFFFF"/>
          </w:tcPr>
          <w:p w:rsidR="006C24A8" w:rsidRPr="00125F97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1134" w:type="dxa"/>
            <w:shd w:val="clear" w:color="auto" w:fill="FFFFFF"/>
          </w:tcPr>
          <w:p w:rsidR="006C24A8" w:rsidRPr="00DA7E4F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6C24A8" w:rsidRPr="00C356D4" w:rsidTr="00F62F46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E0AA7" w:rsidRDefault="006C24A8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6C24A8" w:rsidRDefault="006C24A8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D67ED" w:rsidRDefault="006C24A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6C24A8" w:rsidRDefault="0059535E" w:rsidP="00CF7AEC">
            <w:pPr>
              <w:rPr>
                <w:sz w:val="18"/>
                <w:szCs w:val="20"/>
              </w:rPr>
            </w:pPr>
            <w:r w:rsidRPr="0059535E"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53500B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459" w:type="dxa"/>
            <w:shd w:val="clear" w:color="auto" w:fill="FFFFFF"/>
          </w:tcPr>
          <w:p w:rsidR="006C24A8" w:rsidRPr="0053500B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134 031 580</w:t>
            </w:r>
          </w:p>
        </w:tc>
        <w:tc>
          <w:tcPr>
            <w:tcW w:w="2551" w:type="dxa"/>
            <w:shd w:val="clear" w:color="auto" w:fill="FFFFFF"/>
          </w:tcPr>
          <w:p w:rsidR="006C24A8" w:rsidRPr="00030FB8" w:rsidRDefault="006C24A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1. Liczba osób bezrobotnych (łącznie  z długotrwale bezrobotnymi) objętych wsparciem w programie</w:t>
            </w:r>
          </w:p>
          <w:p w:rsidR="006C24A8" w:rsidRDefault="006C24A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2. </w:t>
            </w:r>
            <w:r w:rsidRPr="00030FB8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1. Liczba osób bezrobotnych, które otrzymały ofertę pracy, kształcenia ustawicznego, przygotowania zawodowego lub stażu po opuszczeniu programu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3. Liczba osób bezrobotnych, które ukończyły interwencję wspieraną w ramach Inicjatywy na rzecz zatrudnienia ludzi młodych</w:t>
            </w:r>
          </w:p>
          <w:p w:rsidR="006C24A8" w:rsidRPr="00D83A0E" w:rsidRDefault="006C24A8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170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024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9 878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9 087    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12 115    </w:t>
            </w:r>
            <w:r w:rsidRPr="00030FB8">
              <w:rPr>
                <w:rFonts w:ascii="Arial" w:hAnsi="Arial" w:cs="Arial"/>
                <w:sz w:val="18"/>
                <w:szCs w:val="18"/>
              </w:rPr>
              <w:t xml:space="preserve"> 3 854    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2 964</w:t>
            </w:r>
          </w:p>
          <w:p w:rsidR="006C24A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4 717    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30.0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C24A8" w:rsidRPr="00C356D4" w:rsidTr="00F62F46"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E0AA7" w:rsidRDefault="006C24A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77C52" w:rsidRDefault="006C24A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Projekt polega na wypracowaniu i wdrożeniu systemu monitorowania równości szans płci oraz wypracowaniu i wdrożeniu systemu oraz modelu współpracy na rzecz horyzontalnego wdrażania polityki równego traktowania ze względu na płeć w podmiotach administracji rządowej szczebla centralnego i wojewódzkiego, który realnie przyczyni się do podniesienia standardów realizacji działań na rzecz równości szans i przeciwdziałania dyskryminacji.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Departament Wdrażania Europejskiego Funduszu Społecznego, 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459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2551" w:type="dxa"/>
            <w:shd w:val="clear" w:color="auto" w:fill="FFFFFF"/>
          </w:tcPr>
          <w:p w:rsidR="006C24A8" w:rsidRPr="00484B56" w:rsidRDefault="006C24A8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6C24A8" w:rsidRPr="00484B56" w:rsidRDefault="006C24A8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6C24A8" w:rsidRPr="00484B56" w:rsidRDefault="006C24A8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6C24A8" w:rsidRDefault="006C24A8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6C24A8" w:rsidRPr="00484B56" w:rsidRDefault="006C24A8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6C24A8" w:rsidRPr="00F62F46" w:rsidRDefault="006C24A8" w:rsidP="00F62F46">
            <w:pPr>
              <w:numPr>
                <w:ilvl w:val="0"/>
                <w:numId w:val="6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6C24A8" w:rsidRPr="00F62F46" w:rsidRDefault="006C24A8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6C24A8" w:rsidRPr="00F62F46" w:rsidRDefault="006C24A8" w:rsidP="00484B5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wypracowanych przez Wojewódzkich Pełnomocników ds. Równego Traktowania pakietów rekomendacji w zakresie równości szans płci w ramach wojewódzkich strategii w zakresie polityki społecznej</w:t>
            </w:r>
          </w:p>
          <w:p w:rsidR="006C24A8" w:rsidRPr="00F62F46" w:rsidRDefault="006C24A8" w:rsidP="00484B5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6C24A8" w:rsidRPr="00484B56" w:rsidRDefault="006C24A8" w:rsidP="00484B5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6C24A8" w:rsidRDefault="006C24A8" w:rsidP="00F62F4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6C24A8" w:rsidRPr="00154EAB" w:rsidRDefault="006C24A8" w:rsidP="00F62F4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6C24A8" w:rsidRPr="00221B2A" w:rsidRDefault="006C24A8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81443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Default="006C24A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Pr="00154EAB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75" w:type="dxa"/>
            <w:shd w:val="clear" w:color="auto" w:fill="FFFFFF"/>
          </w:tcPr>
          <w:p w:rsidR="006C24A8" w:rsidRPr="000D40E5" w:rsidRDefault="006C24A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t>marzec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F0731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6C24A8" w:rsidRPr="00C356D4" w:rsidTr="00F62F46"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6C24A8" w:rsidRDefault="006C24A8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21B2A" w:rsidRDefault="006C24A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1100" w:type="dxa"/>
            <w:shd w:val="clear" w:color="auto" w:fill="auto"/>
          </w:tcPr>
          <w:p w:rsidR="006C24A8" w:rsidRPr="00221B2A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221B2A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459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2551" w:type="dxa"/>
            <w:shd w:val="clear" w:color="auto" w:fill="FFFFFF"/>
          </w:tcPr>
          <w:p w:rsidR="006C24A8" w:rsidRPr="00F62F46" w:rsidRDefault="006C24A8" w:rsidP="00F62F46">
            <w:pPr>
              <w:pStyle w:val="Akapitzlist"/>
              <w:numPr>
                <w:ilvl w:val="0"/>
                <w:numId w:val="70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6C24A8" w:rsidRPr="00F62F46" w:rsidRDefault="006C24A8" w:rsidP="00F62F46">
            <w:pPr>
              <w:pStyle w:val="Akapitzlist"/>
              <w:numPr>
                <w:ilvl w:val="0"/>
                <w:numId w:val="70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>iczba osób przygotowanych do realizacji ramowych programów doradztwa edukacyjno-zawodowego opracowanych w ramach programu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C24A8" w:rsidRPr="00D26020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6C24A8" w:rsidRPr="000D40E5" w:rsidRDefault="006C24A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134" w:type="dxa"/>
            <w:shd w:val="clear" w:color="auto" w:fill="FFFFFF"/>
          </w:tcPr>
          <w:p w:rsidR="006C24A8" w:rsidRPr="000F0731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B55A48" w:rsidTr="00894DC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0820DB" w:rsidRDefault="006C24A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18 836 880,70 zł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18 836 880,70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16 011 348,60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6C24A8" w:rsidRPr="00B55A48" w:rsidTr="00894DC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0820DB" w:rsidRDefault="006C24A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>Tworzenie zestawów narzędzi edukacyjnych, tj. 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przedmiotów (na każdym etapie edukacyjnym), dla których opracowano przykładowe programy nauczania wraz ze scenariuszami lekcji.</w:t>
            </w: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Default="006C24A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6C24A8" w:rsidRPr="00585D27" w:rsidRDefault="006C24A8" w:rsidP="00585D27"/>
          <w:p w:rsidR="006C24A8" w:rsidRDefault="006C24A8" w:rsidP="00F977F6">
            <w:pPr>
              <w:rPr>
                <w:lang w:eastAsia="pl-PL"/>
              </w:rPr>
            </w:pPr>
          </w:p>
          <w:p w:rsidR="006C24A8" w:rsidRDefault="006C24A8" w:rsidP="00F977F6">
            <w:pPr>
              <w:rPr>
                <w:lang w:eastAsia="pl-PL"/>
              </w:rPr>
            </w:pPr>
          </w:p>
          <w:p w:rsidR="006C24A8" w:rsidRDefault="006C24A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6C24A8" w:rsidRDefault="006C24A8" w:rsidP="00585D27">
            <w:pPr>
              <w:rPr>
                <w:lang w:eastAsia="pl-PL"/>
              </w:rPr>
            </w:pPr>
          </w:p>
          <w:p w:rsidR="006C24A8" w:rsidRDefault="006C24A8" w:rsidP="00585D27">
            <w:pPr>
              <w:rPr>
                <w:lang w:eastAsia="pl-PL"/>
              </w:rPr>
            </w:pPr>
          </w:p>
          <w:p w:rsidR="006C24A8" w:rsidRPr="00585D27" w:rsidRDefault="006C24A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IV.2017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</w:tbl>
    <w:p w:rsidR="00062D08" w:rsidRDefault="00062D08" w:rsidP="00D17028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5E" w:rsidRDefault="0059535E" w:rsidP="0085573C">
      <w:pPr>
        <w:spacing w:after="0" w:line="240" w:lineRule="auto"/>
      </w:pPr>
      <w:r>
        <w:separator/>
      </w:r>
    </w:p>
  </w:endnote>
  <w:endnote w:type="continuationSeparator" w:id="0">
    <w:p w:rsidR="0059535E" w:rsidRDefault="0059535E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5E" w:rsidRDefault="0059535E" w:rsidP="0085573C">
      <w:pPr>
        <w:spacing w:after="0" w:line="240" w:lineRule="auto"/>
      </w:pPr>
      <w:r>
        <w:separator/>
      </w:r>
    </w:p>
  </w:footnote>
  <w:footnote w:type="continuationSeparator" w:id="0">
    <w:p w:rsidR="0059535E" w:rsidRDefault="0059535E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D17"/>
    <w:multiLevelType w:val="hybridMultilevel"/>
    <w:tmpl w:val="8FC2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5DC"/>
    <w:multiLevelType w:val="hybridMultilevel"/>
    <w:tmpl w:val="AE9C22FC"/>
    <w:lvl w:ilvl="0" w:tplc="B41E81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F171F22"/>
    <w:multiLevelType w:val="hybridMultilevel"/>
    <w:tmpl w:val="8E20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E20110"/>
    <w:multiLevelType w:val="hybridMultilevel"/>
    <w:tmpl w:val="4694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003B2C"/>
    <w:multiLevelType w:val="hybridMultilevel"/>
    <w:tmpl w:val="87124378"/>
    <w:lvl w:ilvl="0" w:tplc="C878498C">
      <w:start w:val="1"/>
      <w:numFmt w:val="decimal"/>
      <w:lvlText w:val="%1."/>
      <w:lvlJc w:val="left"/>
      <w:pPr>
        <w:ind w:left="643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3F67B1"/>
    <w:multiLevelType w:val="hybridMultilevel"/>
    <w:tmpl w:val="3174AC3E"/>
    <w:lvl w:ilvl="0" w:tplc="B7942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7A3F3C"/>
    <w:multiLevelType w:val="hybridMultilevel"/>
    <w:tmpl w:val="7CFC3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4122C7"/>
    <w:multiLevelType w:val="hybridMultilevel"/>
    <w:tmpl w:val="EFCE3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8F959FC"/>
    <w:multiLevelType w:val="hybridMultilevel"/>
    <w:tmpl w:val="1CCAF802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A514A0"/>
    <w:multiLevelType w:val="hybridMultilevel"/>
    <w:tmpl w:val="5902232A"/>
    <w:lvl w:ilvl="0" w:tplc="44EC5F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8E63A2"/>
    <w:multiLevelType w:val="hybridMultilevel"/>
    <w:tmpl w:val="49D4B232"/>
    <w:lvl w:ilvl="0" w:tplc="83689792">
      <w:start w:val="1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645B40"/>
    <w:multiLevelType w:val="hybridMultilevel"/>
    <w:tmpl w:val="26D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740F3FE9"/>
    <w:multiLevelType w:val="hybridMultilevel"/>
    <w:tmpl w:val="BCE4005A"/>
    <w:lvl w:ilvl="0" w:tplc="105042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6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0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F925A34"/>
    <w:multiLevelType w:val="hybridMultilevel"/>
    <w:tmpl w:val="819A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46"/>
  </w:num>
  <w:num w:numId="4">
    <w:abstractNumId w:val="3"/>
  </w:num>
  <w:num w:numId="5">
    <w:abstractNumId w:val="47"/>
  </w:num>
  <w:num w:numId="6">
    <w:abstractNumId w:val="36"/>
  </w:num>
  <w:num w:numId="7">
    <w:abstractNumId w:val="14"/>
  </w:num>
  <w:num w:numId="8">
    <w:abstractNumId w:val="43"/>
  </w:num>
  <w:num w:numId="9">
    <w:abstractNumId w:val="12"/>
  </w:num>
  <w:num w:numId="10">
    <w:abstractNumId w:val="62"/>
  </w:num>
  <w:num w:numId="11">
    <w:abstractNumId w:val="33"/>
  </w:num>
  <w:num w:numId="12">
    <w:abstractNumId w:val="7"/>
  </w:num>
  <w:num w:numId="13">
    <w:abstractNumId w:val="1"/>
  </w:num>
  <w:num w:numId="14">
    <w:abstractNumId w:val="8"/>
  </w:num>
  <w:num w:numId="15">
    <w:abstractNumId w:val="32"/>
  </w:num>
  <w:num w:numId="16">
    <w:abstractNumId w:val="50"/>
  </w:num>
  <w:num w:numId="17">
    <w:abstractNumId w:val="35"/>
  </w:num>
  <w:num w:numId="18">
    <w:abstractNumId w:val="63"/>
  </w:num>
  <w:num w:numId="19">
    <w:abstractNumId w:val="37"/>
  </w:num>
  <w:num w:numId="20">
    <w:abstractNumId w:val="26"/>
  </w:num>
  <w:num w:numId="21">
    <w:abstractNumId w:val="4"/>
  </w:num>
  <w:num w:numId="22">
    <w:abstractNumId w:val="20"/>
  </w:num>
  <w:num w:numId="23">
    <w:abstractNumId w:val="39"/>
  </w:num>
  <w:num w:numId="24">
    <w:abstractNumId w:val="16"/>
  </w:num>
  <w:num w:numId="25">
    <w:abstractNumId w:val="23"/>
  </w:num>
  <w:num w:numId="26">
    <w:abstractNumId w:val="10"/>
  </w:num>
  <w:num w:numId="27">
    <w:abstractNumId w:val="19"/>
  </w:num>
  <w:num w:numId="28">
    <w:abstractNumId w:val="2"/>
  </w:num>
  <w:num w:numId="29">
    <w:abstractNumId w:val="49"/>
  </w:num>
  <w:num w:numId="30">
    <w:abstractNumId w:val="29"/>
  </w:num>
  <w:num w:numId="31">
    <w:abstractNumId w:val="70"/>
  </w:num>
  <w:num w:numId="32">
    <w:abstractNumId w:val="21"/>
  </w:num>
  <w:num w:numId="33">
    <w:abstractNumId w:val="64"/>
  </w:num>
  <w:num w:numId="34">
    <w:abstractNumId w:val="44"/>
  </w:num>
  <w:num w:numId="35">
    <w:abstractNumId w:val="60"/>
  </w:num>
  <w:num w:numId="36">
    <w:abstractNumId w:val="15"/>
  </w:num>
  <w:num w:numId="37">
    <w:abstractNumId w:val="28"/>
  </w:num>
  <w:num w:numId="38">
    <w:abstractNumId w:val="18"/>
  </w:num>
  <w:num w:numId="39">
    <w:abstractNumId w:val="11"/>
  </w:num>
  <w:num w:numId="40">
    <w:abstractNumId w:val="17"/>
  </w:num>
  <w:num w:numId="41">
    <w:abstractNumId w:val="58"/>
  </w:num>
  <w:num w:numId="42">
    <w:abstractNumId w:val="65"/>
  </w:num>
  <w:num w:numId="43">
    <w:abstractNumId w:val="56"/>
  </w:num>
  <w:num w:numId="44">
    <w:abstractNumId w:val="55"/>
  </w:num>
  <w:num w:numId="45">
    <w:abstractNumId w:val="6"/>
  </w:num>
  <w:num w:numId="46">
    <w:abstractNumId w:val="59"/>
  </w:num>
  <w:num w:numId="47">
    <w:abstractNumId w:val="71"/>
  </w:num>
  <w:num w:numId="48">
    <w:abstractNumId w:val="61"/>
  </w:num>
  <w:num w:numId="49">
    <w:abstractNumId w:val="54"/>
  </w:num>
  <w:num w:numId="50">
    <w:abstractNumId w:val="5"/>
  </w:num>
  <w:num w:numId="51">
    <w:abstractNumId w:val="24"/>
  </w:num>
  <w:num w:numId="52">
    <w:abstractNumId w:val="31"/>
  </w:num>
  <w:num w:numId="53">
    <w:abstractNumId w:val="52"/>
  </w:num>
  <w:num w:numId="54">
    <w:abstractNumId w:val="9"/>
  </w:num>
  <w:num w:numId="55">
    <w:abstractNumId w:val="48"/>
  </w:num>
  <w:num w:numId="56">
    <w:abstractNumId w:val="25"/>
  </w:num>
  <w:num w:numId="57">
    <w:abstractNumId w:val="40"/>
  </w:num>
  <w:num w:numId="58">
    <w:abstractNumId w:val="53"/>
  </w:num>
  <w:num w:numId="59">
    <w:abstractNumId w:val="27"/>
  </w:num>
  <w:num w:numId="60">
    <w:abstractNumId w:val="45"/>
  </w:num>
  <w:num w:numId="61">
    <w:abstractNumId w:val="51"/>
  </w:num>
  <w:num w:numId="62">
    <w:abstractNumId w:val="57"/>
  </w:num>
  <w:num w:numId="63">
    <w:abstractNumId w:val="67"/>
  </w:num>
  <w:num w:numId="64">
    <w:abstractNumId w:val="13"/>
  </w:num>
  <w:num w:numId="65">
    <w:abstractNumId w:val="22"/>
  </w:num>
  <w:num w:numId="66">
    <w:abstractNumId w:val="68"/>
  </w:num>
  <w:num w:numId="67">
    <w:abstractNumId w:val="38"/>
  </w:num>
  <w:num w:numId="68">
    <w:abstractNumId w:val="66"/>
  </w:num>
  <w:num w:numId="69">
    <w:abstractNumId w:val="30"/>
  </w:num>
  <w:num w:numId="70">
    <w:abstractNumId w:val="69"/>
  </w:num>
  <w:num w:numId="71">
    <w:abstractNumId w:val="0"/>
  </w:num>
  <w:num w:numId="72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1019C"/>
    <w:rsid w:val="00015C4E"/>
    <w:rsid w:val="00020A15"/>
    <w:rsid w:val="000226DE"/>
    <w:rsid w:val="00030FB8"/>
    <w:rsid w:val="000325EF"/>
    <w:rsid w:val="00032EF8"/>
    <w:rsid w:val="00034914"/>
    <w:rsid w:val="00051C84"/>
    <w:rsid w:val="00057C3E"/>
    <w:rsid w:val="000604D8"/>
    <w:rsid w:val="00062D08"/>
    <w:rsid w:val="000820DB"/>
    <w:rsid w:val="00087393"/>
    <w:rsid w:val="00087560"/>
    <w:rsid w:val="00095F5C"/>
    <w:rsid w:val="000C2996"/>
    <w:rsid w:val="000C6D47"/>
    <w:rsid w:val="000D5CCF"/>
    <w:rsid w:val="000F4E9D"/>
    <w:rsid w:val="0010037D"/>
    <w:rsid w:val="001065C8"/>
    <w:rsid w:val="00124FF3"/>
    <w:rsid w:val="00125F97"/>
    <w:rsid w:val="00154EAB"/>
    <w:rsid w:val="00174C4A"/>
    <w:rsid w:val="0017583A"/>
    <w:rsid w:val="00181C74"/>
    <w:rsid w:val="001912B2"/>
    <w:rsid w:val="001A3260"/>
    <w:rsid w:val="001B48C3"/>
    <w:rsid w:val="001C65DB"/>
    <w:rsid w:val="001D0521"/>
    <w:rsid w:val="001D2B1F"/>
    <w:rsid w:val="001E1526"/>
    <w:rsid w:val="001E24EE"/>
    <w:rsid w:val="001E2C06"/>
    <w:rsid w:val="00203B3F"/>
    <w:rsid w:val="00212EBE"/>
    <w:rsid w:val="002178A4"/>
    <w:rsid w:val="00221B2A"/>
    <w:rsid w:val="00227D5B"/>
    <w:rsid w:val="00233B0A"/>
    <w:rsid w:val="00234DC6"/>
    <w:rsid w:val="00241DF4"/>
    <w:rsid w:val="00243FEC"/>
    <w:rsid w:val="00246899"/>
    <w:rsid w:val="002622CB"/>
    <w:rsid w:val="00275C97"/>
    <w:rsid w:val="00275E5C"/>
    <w:rsid w:val="00287AA3"/>
    <w:rsid w:val="00287D5B"/>
    <w:rsid w:val="00292214"/>
    <w:rsid w:val="002A6461"/>
    <w:rsid w:val="002B20E2"/>
    <w:rsid w:val="002D0505"/>
    <w:rsid w:val="002D5A52"/>
    <w:rsid w:val="002D744E"/>
    <w:rsid w:val="002E0AA7"/>
    <w:rsid w:val="002F569B"/>
    <w:rsid w:val="0030579E"/>
    <w:rsid w:val="0030770E"/>
    <w:rsid w:val="00324232"/>
    <w:rsid w:val="003312B0"/>
    <w:rsid w:val="003325CD"/>
    <w:rsid w:val="00337369"/>
    <w:rsid w:val="00342536"/>
    <w:rsid w:val="00342D43"/>
    <w:rsid w:val="00344D47"/>
    <w:rsid w:val="00345B80"/>
    <w:rsid w:val="00350E03"/>
    <w:rsid w:val="00371789"/>
    <w:rsid w:val="00377321"/>
    <w:rsid w:val="00380640"/>
    <w:rsid w:val="00383A28"/>
    <w:rsid w:val="00387DCF"/>
    <w:rsid w:val="00391529"/>
    <w:rsid w:val="00397FE4"/>
    <w:rsid w:val="003A30C0"/>
    <w:rsid w:val="003B2C5A"/>
    <w:rsid w:val="003D1C78"/>
    <w:rsid w:val="003D5C51"/>
    <w:rsid w:val="003E6D74"/>
    <w:rsid w:val="0040671C"/>
    <w:rsid w:val="00414AA7"/>
    <w:rsid w:val="0041652F"/>
    <w:rsid w:val="00423C2D"/>
    <w:rsid w:val="004417EB"/>
    <w:rsid w:val="00446980"/>
    <w:rsid w:val="00450105"/>
    <w:rsid w:val="00454182"/>
    <w:rsid w:val="004601D5"/>
    <w:rsid w:val="004731EB"/>
    <w:rsid w:val="00484B56"/>
    <w:rsid w:val="00491F82"/>
    <w:rsid w:val="0049417A"/>
    <w:rsid w:val="00495466"/>
    <w:rsid w:val="004C5816"/>
    <w:rsid w:val="004E1462"/>
    <w:rsid w:val="005237FD"/>
    <w:rsid w:val="00530B98"/>
    <w:rsid w:val="0053694A"/>
    <w:rsid w:val="00547A60"/>
    <w:rsid w:val="00556B76"/>
    <w:rsid w:val="00561D5C"/>
    <w:rsid w:val="00562ABF"/>
    <w:rsid w:val="005737F1"/>
    <w:rsid w:val="00585D27"/>
    <w:rsid w:val="005938DE"/>
    <w:rsid w:val="0059535E"/>
    <w:rsid w:val="005A1827"/>
    <w:rsid w:val="005B1936"/>
    <w:rsid w:val="005D254B"/>
    <w:rsid w:val="005D47F9"/>
    <w:rsid w:val="005F11E7"/>
    <w:rsid w:val="006010B6"/>
    <w:rsid w:val="0060587C"/>
    <w:rsid w:val="00605EA9"/>
    <w:rsid w:val="00607E6A"/>
    <w:rsid w:val="00642C7E"/>
    <w:rsid w:val="00656AA9"/>
    <w:rsid w:val="00662EA6"/>
    <w:rsid w:val="00671518"/>
    <w:rsid w:val="006742C4"/>
    <w:rsid w:val="006B5101"/>
    <w:rsid w:val="006C24A8"/>
    <w:rsid w:val="006C6F4F"/>
    <w:rsid w:val="006F03B7"/>
    <w:rsid w:val="006F289C"/>
    <w:rsid w:val="006F7F8C"/>
    <w:rsid w:val="00713B96"/>
    <w:rsid w:val="00736E86"/>
    <w:rsid w:val="007457C5"/>
    <w:rsid w:val="00745D62"/>
    <w:rsid w:val="007531F8"/>
    <w:rsid w:val="0077396F"/>
    <w:rsid w:val="00775B60"/>
    <w:rsid w:val="007A05C0"/>
    <w:rsid w:val="007A12DE"/>
    <w:rsid w:val="007C00A0"/>
    <w:rsid w:val="007C4B43"/>
    <w:rsid w:val="007D0BE1"/>
    <w:rsid w:val="007D326C"/>
    <w:rsid w:val="007D42B1"/>
    <w:rsid w:val="007E1C08"/>
    <w:rsid w:val="007F41A2"/>
    <w:rsid w:val="007F6A01"/>
    <w:rsid w:val="00801B88"/>
    <w:rsid w:val="008039E1"/>
    <w:rsid w:val="00807F67"/>
    <w:rsid w:val="00814438"/>
    <w:rsid w:val="0082409A"/>
    <w:rsid w:val="0082679B"/>
    <w:rsid w:val="00827047"/>
    <w:rsid w:val="00834B30"/>
    <w:rsid w:val="00837136"/>
    <w:rsid w:val="00841C83"/>
    <w:rsid w:val="008441E9"/>
    <w:rsid w:val="008554C8"/>
    <w:rsid w:val="0085573C"/>
    <w:rsid w:val="00861058"/>
    <w:rsid w:val="00872145"/>
    <w:rsid w:val="00894AAC"/>
    <w:rsid w:val="00894DC7"/>
    <w:rsid w:val="008B5ACE"/>
    <w:rsid w:val="008C45F9"/>
    <w:rsid w:val="008C4E80"/>
    <w:rsid w:val="008C5A1B"/>
    <w:rsid w:val="008C7C3F"/>
    <w:rsid w:val="008D020D"/>
    <w:rsid w:val="008E3D7A"/>
    <w:rsid w:val="008F02B0"/>
    <w:rsid w:val="00905D55"/>
    <w:rsid w:val="00907B8E"/>
    <w:rsid w:val="00920013"/>
    <w:rsid w:val="00922B37"/>
    <w:rsid w:val="0092373C"/>
    <w:rsid w:val="00931AD0"/>
    <w:rsid w:val="0093417D"/>
    <w:rsid w:val="009440DC"/>
    <w:rsid w:val="00945F9E"/>
    <w:rsid w:val="009603D5"/>
    <w:rsid w:val="00967170"/>
    <w:rsid w:val="009A22EF"/>
    <w:rsid w:val="009A61CB"/>
    <w:rsid w:val="009D2251"/>
    <w:rsid w:val="009D337F"/>
    <w:rsid w:val="009D70B3"/>
    <w:rsid w:val="009D76F9"/>
    <w:rsid w:val="009E387F"/>
    <w:rsid w:val="009E4327"/>
    <w:rsid w:val="009E5420"/>
    <w:rsid w:val="009F3723"/>
    <w:rsid w:val="009F3E6C"/>
    <w:rsid w:val="00A12F2E"/>
    <w:rsid w:val="00A27D07"/>
    <w:rsid w:val="00A325B4"/>
    <w:rsid w:val="00A548DB"/>
    <w:rsid w:val="00A602AB"/>
    <w:rsid w:val="00A67536"/>
    <w:rsid w:val="00A857C0"/>
    <w:rsid w:val="00A87815"/>
    <w:rsid w:val="00AA47F6"/>
    <w:rsid w:val="00AB6E20"/>
    <w:rsid w:val="00AC241D"/>
    <w:rsid w:val="00AC6D56"/>
    <w:rsid w:val="00AC7A54"/>
    <w:rsid w:val="00AE442D"/>
    <w:rsid w:val="00AE5234"/>
    <w:rsid w:val="00AF57D0"/>
    <w:rsid w:val="00B00C09"/>
    <w:rsid w:val="00B17C75"/>
    <w:rsid w:val="00B30550"/>
    <w:rsid w:val="00B3376A"/>
    <w:rsid w:val="00B37723"/>
    <w:rsid w:val="00B6617A"/>
    <w:rsid w:val="00B958BC"/>
    <w:rsid w:val="00B96AE1"/>
    <w:rsid w:val="00BA7385"/>
    <w:rsid w:val="00BA7C5B"/>
    <w:rsid w:val="00BB3332"/>
    <w:rsid w:val="00BB60FE"/>
    <w:rsid w:val="00BC0FEF"/>
    <w:rsid w:val="00BC2094"/>
    <w:rsid w:val="00BC52A8"/>
    <w:rsid w:val="00BD192D"/>
    <w:rsid w:val="00BE0530"/>
    <w:rsid w:val="00BE6155"/>
    <w:rsid w:val="00BE717C"/>
    <w:rsid w:val="00C12A4B"/>
    <w:rsid w:val="00C13BB6"/>
    <w:rsid w:val="00C13EFF"/>
    <w:rsid w:val="00C356D4"/>
    <w:rsid w:val="00C45BCF"/>
    <w:rsid w:val="00C51E25"/>
    <w:rsid w:val="00C53AA7"/>
    <w:rsid w:val="00C639F2"/>
    <w:rsid w:val="00C63ED7"/>
    <w:rsid w:val="00C66705"/>
    <w:rsid w:val="00C80D54"/>
    <w:rsid w:val="00C82D25"/>
    <w:rsid w:val="00C8429E"/>
    <w:rsid w:val="00C85168"/>
    <w:rsid w:val="00C86113"/>
    <w:rsid w:val="00C864C8"/>
    <w:rsid w:val="00CA35D4"/>
    <w:rsid w:val="00CB232B"/>
    <w:rsid w:val="00CB40EB"/>
    <w:rsid w:val="00CB6CD6"/>
    <w:rsid w:val="00CB7010"/>
    <w:rsid w:val="00CC1638"/>
    <w:rsid w:val="00CC1A62"/>
    <w:rsid w:val="00CC47A7"/>
    <w:rsid w:val="00CD36A8"/>
    <w:rsid w:val="00CE5140"/>
    <w:rsid w:val="00CF2A24"/>
    <w:rsid w:val="00CF7AEC"/>
    <w:rsid w:val="00D00A7D"/>
    <w:rsid w:val="00D03AEE"/>
    <w:rsid w:val="00D06434"/>
    <w:rsid w:val="00D12DC9"/>
    <w:rsid w:val="00D17028"/>
    <w:rsid w:val="00D336CC"/>
    <w:rsid w:val="00D40447"/>
    <w:rsid w:val="00D432B5"/>
    <w:rsid w:val="00D754D6"/>
    <w:rsid w:val="00D80754"/>
    <w:rsid w:val="00D81F06"/>
    <w:rsid w:val="00D83A0E"/>
    <w:rsid w:val="00DA0547"/>
    <w:rsid w:val="00DA4AEC"/>
    <w:rsid w:val="00DA51AB"/>
    <w:rsid w:val="00DA7E4F"/>
    <w:rsid w:val="00DB343A"/>
    <w:rsid w:val="00DB37C9"/>
    <w:rsid w:val="00DB4782"/>
    <w:rsid w:val="00DD0B7A"/>
    <w:rsid w:val="00DD63D8"/>
    <w:rsid w:val="00DE2FC1"/>
    <w:rsid w:val="00DE38D3"/>
    <w:rsid w:val="00DF2687"/>
    <w:rsid w:val="00DF54F5"/>
    <w:rsid w:val="00E01494"/>
    <w:rsid w:val="00E03F45"/>
    <w:rsid w:val="00E07A9D"/>
    <w:rsid w:val="00E2425F"/>
    <w:rsid w:val="00E32127"/>
    <w:rsid w:val="00E41877"/>
    <w:rsid w:val="00E45117"/>
    <w:rsid w:val="00E65FA8"/>
    <w:rsid w:val="00E67A7D"/>
    <w:rsid w:val="00E67BEE"/>
    <w:rsid w:val="00E7235D"/>
    <w:rsid w:val="00E86D9D"/>
    <w:rsid w:val="00EB2ADA"/>
    <w:rsid w:val="00EC05E0"/>
    <w:rsid w:val="00EC0BF1"/>
    <w:rsid w:val="00EC2D63"/>
    <w:rsid w:val="00ED1278"/>
    <w:rsid w:val="00ED23C7"/>
    <w:rsid w:val="00EE28B5"/>
    <w:rsid w:val="00EE5668"/>
    <w:rsid w:val="00EE790C"/>
    <w:rsid w:val="00EF2344"/>
    <w:rsid w:val="00F0255A"/>
    <w:rsid w:val="00F23B5D"/>
    <w:rsid w:val="00F42317"/>
    <w:rsid w:val="00F544EC"/>
    <w:rsid w:val="00F54C19"/>
    <w:rsid w:val="00F62F46"/>
    <w:rsid w:val="00F71927"/>
    <w:rsid w:val="00F76479"/>
    <w:rsid w:val="00F844C0"/>
    <w:rsid w:val="00F977F6"/>
    <w:rsid w:val="00FA2803"/>
    <w:rsid w:val="00FB0EB3"/>
    <w:rsid w:val="00FB4BC2"/>
    <w:rsid w:val="00FC2526"/>
    <w:rsid w:val="00FD121B"/>
    <w:rsid w:val="00FD2EA3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A9EA-3DDF-461B-AAD5-5FF36B32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153</Pages>
  <Words>19341</Words>
  <Characters>116048</Characters>
  <Application>Microsoft Office Word</Application>
  <DocSecurity>0</DocSecurity>
  <Lines>967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Hanna Lodczyk</cp:lastModifiedBy>
  <cp:revision>11</cp:revision>
  <cp:lastPrinted>2016-03-24T11:46:00Z</cp:lastPrinted>
  <dcterms:created xsi:type="dcterms:W3CDTF">2017-03-06T14:52:00Z</dcterms:created>
  <dcterms:modified xsi:type="dcterms:W3CDTF">2017-07-06T11:46:00Z</dcterms:modified>
</cp:coreProperties>
</file>