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33" w:rsidRPr="00C64EBA" w:rsidRDefault="00EB0F18" w:rsidP="00A31333">
      <w:pPr>
        <w:pStyle w:val="Nagwek"/>
        <w:rPr>
          <w:rFonts w:cs="Arial"/>
        </w:rPr>
      </w:pPr>
      <w:r>
        <w:rPr>
          <w:rFonts w:cs="Arial"/>
        </w:rPr>
        <w:t>Załącznik nr 9</w:t>
      </w:r>
      <w:bookmarkStart w:id="0" w:name="_GoBack"/>
      <w:bookmarkEnd w:id="0"/>
      <w:r w:rsidR="00A31333" w:rsidRPr="00C64EBA">
        <w:rPr>
          <w:rFonts w:cs="Arial"/>
        </w:rPr>
        <w:t xml:space="preserve"> </w:t>
      </w:r>
      <w:r w:rsidR="00C64EBA">
        <w:rPr>
          <w:rFonts w:cs="Arial"/>
        </w:rPr>
        <w:t>do Regulaminu konkursu</w:t>
      </w:r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C37C71" w:rsidRDefault="00C37C71" w:rsidP="00956C25">
      <w:pPr>
        <w:pStyle w:val="Tekstpodstawowy"/>
        <w:rPr>
          <w:rFonts w:ascii="Arial" w:hAnsi="Arial" w:cs="Arial"/>
        </w:rPr>
      </w:pPr>
    </w:p>
    <w:p w:rsidR="00EE3351" w:rsidRPr="00134D3D" w:rsidRDefault="00EE3351" w:rsidP="00EE3351">
      <w:pPr>
        <w:pStyle w:val="Stopka"/>
        <w:tabs>
          <w:tab w:val="clear" w:pos="4536"/>
          <w:tab w:val="clear" w:pos="9072"/>
        </w:tabs>
        <w:ind w:left="-142" w:right="-483"/>
      </w:pPr>
      <w:r>
        <w:rPr>
          <w:noProof/>
          <w:lang w:eastAsia="pl-PL"/>
        </w:rPr>
        <w:drawing>
          <wp:inline distT="0" distB="0" distL="0" distR="0" wp14:anchorId="3D0801E8" wp14:editId="773DF6EC">
            <wp:extent cx="6162675" cy="504825"/>
            <wp:effectExtent l="19050" t="0" r="9525" b="0"/>
            <wp:docPr id="5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71" w:rsidRDefault="00C37C71" w:rsidP="00956C25">
      <w:pPr>
        <w:pStyle w:val="Tekstpodstawowy"/>
        <w:rPr>
          <w:rFonts w:ascii="Arial" w:hAnsi="Arial" w:cs="Arial"/>
        </w:rPr>
      </w:pPr>
    </w:p>
    <w:p w:rsidR="00C37C71" w:rsidRPr="009B0BFE" w:rsidRDefault="00C37C71" w:rsidP="00956C25">
      <w:pPr>
        <w:pStyle w:val="Tekstpodstawowy"/>
        <w:rPr>
          <w:rFonts w:ascii="Arial" w:hAnsi="Arial" w:cs="Arial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</w:t>
      </w:r>
      <w:r w:rsidR="00290758" w:rsidRPr="00290758">
        <w:rPr>
          <w:rFonts w:cs="Calibri"/>
        </w:rPr>
        <w:t xml:space="preserve"> </w:t>
      </w:r>
      <w:r w:rsidR="007B3FC6" w:rsidRPr="003B3CA1">
        <w:rPr>
          <w:rFonts w:ascii="Arial" w:hAnsi="Arial" w:cs="Arial"/>
        </w:rPr>
        <w:t>Programu Operacyjnego Wiedza Edukacja Rozwój 2014-2020</w:t>
      </w:r>
      <w:r w:rsidRPr="009B0BFE">
        <w:rPr>
          <w:rFonts w:ascii="Arial" w:hAnsi="Arial" w:cs="Arial"/>
        </w:rPr>
        <w:t>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="00227C6E">
        <w:rPr>
          <w:rFonts w:ascii="Arial" w:hAnsi="Arial" w:cs="Arial"/>
        </w:rPr>
        <w:t xml:space="preserve"> Programu Operacyjnego Wiedza Edukacja Rozwój 2014 - 2020</w:t>
      </w:r>
      <w:r w:rsidRPr="009B0BFE">
        <w:rPr>
          <w:rFonts w:ascii="Arial" w:hAnsi="Arial" w:cs="Arial"/>
        </w:rPr>
        <w:t>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 xml:space="preserve">, w tym za </w:t>
      </w:r>
      <w:r w:rsidRPr="009B0BFE">
        <w:rPr>
          <w:rFonts w:ascii="Arial" w:hAnsi="Arial" w:cs="Arial"/>
        </w:rPr>
        <w:lastRenderedPageBreak/>
        <w:t>poprawność rozliczeń finansowych, nawet w sytuacji, gdy przekazuje Partnerom odpowiednią część dofinansowania na pokrycie ich wydatków.</w:t>
      </w:r>
    </w:p>
    <w:p w:rsidR="00166C7D" w:rsidRPr="009B0BFE" w:rsidRDefault="00166C7D" w:rsidP="000576F5">
      <w:pPr>
        <w:spacing w:after="0" w:line="240" w:lineRule="auto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DE5A98">
        <w:rPr>
          <w:rFonts w:ascii="Arial" w:hAnsi="Arial" w:cs="Arial"/>
        </w:rPr>
        <w:t>PO WER</w:t>
      </w:r>
      <w:r w:rsidR="00F02AD7">
        <w:rPr>
          <w:rFonts w:ascii="Arial" w:hAnsi="Arial" w:cs="Arial"/>
        </w:rPr>
        <w:t xml:space="preserve"> 2014 – 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166C7D" w:rsidRPr="009B0BFE" w:rsidRDefault="00166C7D" w:rsidP="00057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lastRenderedPageBreak/>
        <w:t>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166C7D" w:rsidRPr="009B0BFE" w:rsidRDefault="00166C7D" w:rsidP="00057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D4A9E" w:rsidRPr="006B139D" w:rsidRDefault="006D4A9E" w:rsidP="006D4A9E">
      <w:pPr>
        <w:spacing w:after="0" w:line="240" w:lineRule="auto"/>
        <w:jc w:val="both"/>
        <w:rPr>
          <w:rFonts w:ascii="Arial" w:hAnsi="Arial" w:cs="Arial"/>
          <w:iCs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</w:t>
      </w:r>
      <w:r w:rsidR="002455D0" w:rsidRPr="006F6FC8">
        <w:rPr>
          <w:rFonts w:ascii="Arial" w:hAnsi="Arial" w:cs="Arial"/>
          <w:color w:val="000000" w:themeColor="text1"/>
        </w:rPr>
        <w:lastRenderedPageBreak/>
        <w:t xml:space="preserve">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620B95" w:rsidRDefault="00620B95" w:rsidP="00620B95">
      <w:pPr>
        <w:spacing w:after="120" w:line="240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 xml:space="preserve">ytorycznych ujętych we wniosku </w:t>
      </w:r>
      <w:r w:rsidR="00406D04" w:rsidRPr="009B0BFE">
        <w:rPr>
          <w:rFonts w:ascii="Arial" w:hAnsi="Arial" w:cs="Arial"/>
        </w:rPr>
        <w:lastRenderedPageBreak/>
        <w:t>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1F4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6E4955">
        <w:rPr>
          <w:rFonts w:ascii="Arial" w:hAnsi="Arial" w:cs="Arial"/>
        </w:rPr>
        <w:t xml:space="preserve"> na podstawie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odniesieniu do zbioru  </w:t>
      </w:r>
      <w:r w:rsidR="007B3FC6" w:rsidRPr="003B3CA1">
        <w:rPr>
          <w:rFonts w:ascii="Arial" w:eastAsia="Calibri" w:hAnsi="Arial" w:cs="Arial"/>
        </w:rPr>
        <w:t>Program Operacyjny Wiedza Edukacja Rozwój</w:t>
      </w:r>
      <w:r w:rsidRPr="009B0BFE">
        <w:rPr>
          <w:rFonts w:ascii="Arial" w:hAnsi="Arial" w:cs="Arial"/>
        </w:rPr>
        <w:t>:</w:t>
      </w:r>
    </w:p>
    <w:p w:rsidR="003F22D7" w:rsidRPr="009B0BFE" w:rsidRDefault="007B3FC6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3B3CA1">
        <w:rPr>
          <w:rFonts w:ascii="Arial" w:eastAsia="Calibri" w:hAnsi="Arial" w:cs="Arial"/>
        </w:rPr>
        <w:t>rozporządzenia nr 1303/2013</w:t>
      </w:r>
      <w:r w:rsidR="003F22D7" w:rsidRPr="009B0BFE">
        <w:rPr>
          <w:rFonts w:ascii="Arial" w:hAnsi="Arial" w:cs="Arial"/>
        </w:rPr>
        <w:t>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A460DA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3FC6" w:rsidRPr="003B3CA1">
        <w:rPr>
          <w:rFonts w:ascii="Arial" w:eastAsia="Calibri" w:hAnsi="Arial" w:cs="Arial"/>
        </w:rPr>
        <w:t>ustawy z dnia 11 lipca 2014 r. o zasadach realizacji programów w zakresie polityki spójności finansowanych w perspektywie finansowej 2014–2020</w:t>
      </w:r>
      <w:r w:rsidR="003F22D7" w:rsidRPr="009B0BFE">
        <w:rPr>
          <w:rFonts w:ascii="Arial" w:hAnsi="Arial" w:cs="Arial"/>
        </w:rPr>
        <w:t>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odniesieniu do zbioru Centralny system teleinformatyczny wspierający realizację programów operacyjnych: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7B3FC6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3B3CA1">
        <w:rPr>
          <w:rFonts w:ascii="Arial" w:eastAsia="Calibri" w:hAnsi="Arial" w:cs="Arial"/>
        </w:rPr>
        <w:t>ustawy z dnia 11 lipca 2014 r. o zasadach realizacji programów w zakresie polityki spójności finansowanych w perspektywie finansowej 2014–2020</w:t>
      </w:r>
      <w:r w:rsidR="00A460DA">
        <w:rPr>
          <w:rFonts w:cs="Calibri"/>
        </w:rPr>
        <w:t xml:space="preserve"> </w:t>
      </w:r>
      <w:r w:rsidR="003F22D7" w:rsidRPr="009B0BFE">
        <w:rPr>
          <w:rFonts w:ascii="Arial" w:hAnsi="Arial" w:cs="Arial"/>
        </w:rPr>
        <w:t>;</w:t>
      </w:r>
    </w:p>
    <w:p w:rsidR="003F22D7" w:rsidRPr="00A460DA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A460DA">
        <w:rPr>
          <w:rFonts w:ascii="Arial" w:hAnsi="Arial" w:cs="Arial"/>
        </w:rPr>
        <w:t xml:space="preserve"> </w:t>
      </w:r>
      <w:r w:rsidR="007B3FC6" w:rsidRPr="003B3CA1">
        <w:rPr>
          <w:rFonts w:ascii="Arial" w:eastAsia="Calibri" w:hAnsi="Arial" w:cs="Arial"/>
        </w:rPr>
        <w:t>(Dz. Urz. UE L 286 z 30.09.2014, str.1)</w:t>
      </w:r>
      <w:r w:rsidRPr="00A460DA">
        <w:rPr>
          <w:rFonts w:ascii="Arial" w:hAnsi="Arial" w:cs="Arial"/>
        </w:rPr>
        <w:t>;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 xml:space="preserve">, w </w:t>
      </w:r>
      <w:proofErr w:type="spellStart"/>
      <w:r w:rsidRPr="009B0BFE">
        <w:rPr>
          <w:rFonts w:ascii="Arial" w:hAnsi="Arial" w:cs="Arial"/>
        </w:rPr>
        <w:t>ramach</w:t>
      </w:r>
      <w:r w:rsidR="00FA46E8">
        <w:rPr>
          <w:rFonts w:ascii="Arial" w:hAnsi="Arial" w:cs="Arial"/>
        </w:rPr>
        <w:t>Programu</w:t>
      </w:r>
      <w:proofErr w:type="spellEnd"/>
      <w:r w:rsidR="00FA46E8">
        <w:rPr>
          <w:rFonts w:ascii="Arial" w:hAnsi="Arial" w:cs="Arial"/>
        </w:rPr>
        <w:t xml:space="preserve"> Operacyjnego Wiedza Edukacja Rozwój 2014 -2020 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lastRenderedPageBreak/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B60125" w:rsidRPr="009B0BFE" w:rsidRDefault="00B60125" w:rsidP="0025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udostępnia Partnerom obowiązujące logotypy </w:t>
      </w:r>
      <w:r w:rsidR="00FA46E8">
        <w:rPr>
          <w:rFonts w:ascii="Arial" w:eastAsia="Times New Roman" w:hAnsi="Arial" w:cs="Arial"/>
          <w:lang w:eastAsia="pl-PL"/>
        </w:rPr>
        <w:t xml:space="preserve">Programu Operacyjnego Wiedza Edukacja Rozwój 2014 – 2020 </w:t>
      </w:r>
      <w:r w:rsidRPr="009B0BFE">
        <w:rPr>
          <w:rFonts w:ascii="Arial" w:eastAsia="Times New Roman" w:hAnsi="Arial" w:cs="Arial"/>
          <w:lang w:eastAsia="pl-PL"/>
        </w:rPr>
        <w:t>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FA46E8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>Partnerzy</w:t>
      </w:r>
      <w:r w:rsidR="00302D64">
        <w:rPr>
          <w:rFonts w:ascii="Arial" w:eastAsia="Times New Roman" w:hAnsi="Arial" w:cs="Arial"/>
          <w:bCs/>
          <w:lang w:eastAsia="pl-PL"/>
        </w:rPr>
        <w:t xml:space="preserve"> są zobowiązani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302D64">
        <w:rPr>
          <w:rFonts w:ascii="Arial" w:eastAsia="Times New Roman" w:hAnsi="Arial" w:cs="Arial"/>
          <w:bCs/>
          <w:lang w:eastAsia="pl-PL"/>
        </w:rPr>
        <w:t xml:space="preserve"> </w:t>
      </w:r>
      <w:r w:rsidR="007B3FC6" w:rsidRPr="003B3CA1">
        <w:rPr>
          <w:rFonts w:ascii="Arial" w:eastAsia="Calibri" w:hAnsi="Arial" w:cs="Arial"/>
        </w:rPr>
        <w:t>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302D64">
        <w:rPr>
          <w:rFonts w:ascii="Arial" w:hAnsi="Arial" w:cs="Arial"/>
        </w:rPr>
        <w:t>.</w:t>
      </w: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lastRenderedPageBreak/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B515E1" w:rsidRPr="00252216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4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8B2CE7" w:rsidRPr="00252216" w:rsidRDefault="008B2CE7" w:rsidP="00252216">
      <w:pPr>
        <w:suppressAutoHyphens/>
        <w:spacing w:after="60" w:line="240" w:lineRule="auto"/>
        <w:rPr>
          <w:rFonts w:ascii="Arial" w:hAnsi="Arial" w:cs="Arial"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25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2216" w:rsidRPr="009B0BFE" w:rsidRDefault="0025221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8B2CE7" w:rsidRPr="009B0BFE" w:rsidRDefault="008B2CE7" w:rsidP="0000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B064DE" w:rsidRPr="009B0BFE" w:rsidRDefault="00B064DE" w:rsidP="0000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B2CE7" w:rsidRPr="009B0BFE" w:rsidRDefault="008B2CE7" w:rsidP="0000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5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6"/>
      </w:r>
    </w:p>
    <w:p w:rsidR="00956C25" w:rsidRPr="00EC71C3" w:rsidRDefault="00F1319E" w:rsidP="00EC71C3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EC7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302D64" w:rsidRDefault="00302D64" w:rsidP="00956C25">
      <w:pPr>
        <w:spacing w:line="240" w:lineRule="auto"/>
        <w:jc w:val="both"/>
        <w:rPr>
          <w:rFonts w:ascii="Arial" w:hAnsi="Arial" w:cs="Arial"/>
        </w:rPr>
      </w:pPr>
    </w:p>
    <w:p w:rsidR="00302D64" w:rsidRDefault="00EE3351" w:rsidP="00956C25">
      <w:pPr>
        <w:spacing w:line="240" w:lineRule="auto"/>
        <w:jc w:val="both"/>
        <w:rPr>
          <w:rFonts w:ascii="Arial" w:hAnsi="Arial" w:cs="Arial"/>
        </w:rPr>
      </w:pPr>
      <w:r w:rsidRPr="00EE3351">
        <w:rPr>
          <w:rFonts w:ascii="Arial" w:hAnsi="Arial" w:cs="Arial"/>
          <w:noProof/>
          <w:lang w:eastAsia="pl-PL"/>
        </w:rPr>
        <w:drawing>
          <wp:inline distT="0" distB="0" distL="0" distR="0" wp14:anchorId="4C748F97" wp14:editId="2EB58320">
            <wp:extent cx="5760720" cy="471898"/>
            <wp:effectExtent l="19050" t="0" r="0" b="0"/>
            <wp:docPr id="9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7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302D64">
        <w:rPr>
          <w:rFonts w:ascii="Arial" w:hAnsi="Arial" w:cs="Arial"/>
          <w:iCs/>
        </w:rPr>
        <w:t xml:space="preserve"> Programu Operacyjnego Wiedza Edukacja </w:t>
      </w:r>
      <w:r w:rsidR="00BA34A1">
        <w:rPr>
          <w:rFonts w:ascii="Arial" w:hAnsi="Arial" w:cs="Arial"/>
          <w:iCs/>
        </w:rPr>
        <w:t>Rozwój 2014 - 2020</w:t>
      </w:r>
      <w:r w:rsidR="00B515E1">
        <w:rPr>
          <w:rFonts w:ascii="Arial" w:hAnsi="Arial" w:cs="Arial"/>
        </w:rPr>
        <w:t>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</w:p>
    <w:p w:rsidR="00BA34A1" w:rsidRDefault="00BA34A1" w:rsidP="00956C25">
      <w:pPr>
        <w:spacing w:line="240" w:lineRule="auto"/>
        <w:jc w:val="both"/>
        <w:rPr>
          <w:rFonts w:ascii="Arial" w:hAnsi="Arial" w:cs="Arial"/>
        </w:rPr>
      </w:pPr>
    </w:p>
    <w:p w:rsidR="00BA34A1" w:rsidRDefault="00EE3351" w:rsidP="00956C25">
      <w:pPr>
        <w:spacing w:line="240" w:lineRule="auto"/>
        <w:jc w:val="both"/>
        <w:rPr>
          <w:rFonts w:ascii="Arial" w:hAnsi="Arial" w:cs="Arial"/>
        </w:rPr>
      </w:pPr>
      <w:r w:rsidRPr="00EE3351">
        <w:rPr>
          <w:rFonts w:ascii="Arial" w:hAnsi="Arial" w:cs="Arial"/>
          <w:noProof/>
          <w:lang w:eastAsia="pl-PL"/>
        </w:rPr>
        <w:drawing>
          <wp:inline distT="0" distB="0" distL="0" distR="0" wp14:anchorId="6E630A11" wp14:editId="688616B3">
            <wp:extent cx="5760720" cy="471898"/>
            <wp:effectExtent l="19050" t="0" r="0" b="0"/>
            <wp:docPr id="10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BA34A1" w:rsidRDefault="00BA34A1" w:rsidP="00956C25">
      <w:pPr>
        <w:spacing w:line="240" w:lineRule="auto"/>
        <w:jc w:val="both"/>
        <w:rPr>
          <w:rFonts w:ascii="Arial" w:hAnsi="Arial" w:cs="Arial"/>
        </w:rPr>
      </w:pPr>
    </w:p>
    <w:p w:rsidR="00BA34A1" w:rsidRDefault="00EE3351" w:rsidP="00956C25">
      <w:pPr>
        <w:spacing w:line="240" w:lineRule="auto"/>
        <w:jc w:val="both"/>
        <w:rPr>
          <w:rFonts w:ascii="Arial" w:hAnsi="Arial" w:cs="Arial"/>
        </w:rPr>
      </w:pPr>
      <w:r w:rsidRPr="00EE3351">
        <w:rPr>
          <w:rFonts w:ascii="Arial" w:hAnsi="Arial" w:cs="Arial"/>
          <w:noProof/>
          <w:lang w:eastAsia="pl-PL"/>
        </w:rPr>
        <w:drawing>
          <wp:inline distT="0" distB="0" distL="0" distR="0" wp14:anchorId="570E5576" wp14:editId="5BF16A3B">
            <wp:extent cx="5760720" cy="471898"/>
            <wp:effectExtent l="19050" t="0" r="0" b="0"/>
            <wp:docPr id="11" name="Obraz 1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A1" w:rsidRDefault="00BA34A1" w:rsidP="00956C25">
      <w:pPr>
        <w:spacing w:line="240" w:lineRule="auto"/>
        <w:jc w:val="both"/>
        <w:rPr>
          <w:rFonts w:ascii="Arial" w:hAnsi="Arial" w:cs="Arial"/>
        </w:rPr>
      </w:pP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8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3035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92" w:rsidRDefault="00BB6892" w:rsidP="008E0DE8">
      <w:pPr>
        <w:spacing w:after="0" w:line="240" w:lineRule="auto"/>
      </w:pPr>
      <w:r>
        <w:separator/>
      </w:r>
    </w:p>
  </w:endnote>
  <w:endnote w:type="continuationSeparator" w:id="0">
    <w:p w:rsidR="00BB6892" w:rsidRDefault="00BB6892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:rsidR="002250D0" w:rsidRDefault="002250D0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EB0F18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50D0" w:rsidRDefault="00225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92" w:rsidRDefault="00BB6892" w:rsidP="008E0DE8">
      <w:pPr>
        <w:spacing w:after="0" w:line="240" w:lineRule="auto"/>
      </w:pPr>
      <w:r>
        <w:separator/>
      </w:r>
    </w:p>
  </w:footnote>
  <w:footnote w:type="continuationSeparator" w:id="0">
    <w:p w:rsidR="00BB6892" w:rsidRDefault="00BB6892" w:rsidP="008E0DE8">
      <w:pPr>
        <w:spacing w:after="0" w:line="240" w:lineRule="auto"/>
      </w:pPr>
      <w:r>
        <w:continuationSeparator/>
      </w:r>
    </w:p>
  </w:footnote>
  <w:footnote w:id="1">
    <w:p w:rsidR="002250D0" w:rsidRPr="006C4B0D" w:rsidRDefault="002250D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</w:t>
      </w:r>
      <w:r>
        <w:rPr>
          <w:rFonts w:ascii="Arial" w:hAnsi="Arial" w:cs="Arial"/>
          <w:sz w:val="16"/>
          <w:szCs w:val="16"/>
        </w:rPr>
        <w:t xml:space="preserve"> Programu Operacyjnego Wiedza Edukacja Rozwój 2014 – 2020  </w:t>
      </w:r>
      <w:r w:rsidRPr="006C4B0D">
        <w:rPr>
          <w:rFonts w:ascii="Arial" w:hAnsi="Arial" w:cs="Arial"/>
          <w:sz w:val="16"/>
          <w:szCs w:val="16"/>
        </w:rPr>
        <w:t>.</w:t>
      </w:r>
    </w:p>
  </w:footnote>
  <w:footnote w:id="2">
    <w:p w:rsidR="002250D0" w:rsidRPr="00B64F2C" w:rsidRDefault="002250D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250D0" w:rsidRPr="006C4B0D" w:rsidRDefault="002250D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2250D0" w:rsidRPr="00AC60DF" w:rsidRDefault="002250D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2250D0" w:rsidRPr="000913EC" w:rsidRDefault="002250D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2250D0" w:rsidRPr="006C4B0D" w:rsidRDefault="002250D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2250D0" w:rsidRPr="006C4B0D" w:rsidRDefault="002250D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250D0" w:rsidRPr="00BB7DDC" w:rsidRDefault="002250D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2250D0" w:rsidRPr="006C4B0D" w:rsidRDefault="002250D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2250D0" w:rsidRPr="00B64F2C" w:rsidRDefault="002250D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2250D0" w:rsidRPr="00B64F2C" w:rsidRDefault="002250D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2250D0" w:rsidRDefault="002250D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2250D0" w:rsidRPr="000B6AE8" w:rsidRDefault="002250D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2250D0" w:rsidRPr="002B3E85" w:rsidRDefault="002250D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2250D0" w:rsidRPr="00AC60DF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2250D0" w:rsidRPr="00AC60DF" w:rsidRDefault="002250D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2250D0" w:rsidRPr="00531B98" w:rsidRDefault="002250D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2250D0" w:rsidRPr="000B6AE8" w:rsidRDefault="002250D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2250D0" w:rsidRPr="00531B98" w:rsidRDefault="002250D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2250D0" w:rsidRPr="00531B98" w:rsidRDefault="002250D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2250D0" w:rsidRPr="00531B98" w:rsidRDefault="002250D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2250D0" w:rsidRPr="00531B98" w:rsidRDefault="002250D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2250D0" w:rsidRPr="00B03992" w:rsidRDefault="002250D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2250D0" w:rsidRDefault="002250D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2250D0" w:rsidRPr="00AC60DF" w:rsidRDefault="002250D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2250D0" w:rsidRPr="00AC60DF" w:rsidRDefault="002250D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2250D0" w:rsidRPr="00A72FA5" w:rsidRDefault="002250D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2250D0" w:rsidRPr="003918E6" w:rsidRDefault="002250D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2250D0" w:rsidRPr="002B3E85" w:rsidRDefault="002250D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2250D0" w:rsidRPr="002B3E85" w:rsidRDefault="002250D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2250D0" w:rsidRPr="005A707C" w:rsidRDefault="002250D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2250D0" w:rsidRPr="00275295" w:rsidRDefault="002250D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4">
    <w:p w:rsidR="002250D0" w:rsidRPr="00275295" w:rsidRDefault="002250D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5">
    <w:p w:rsidR="002250D0" w:rsidRPr="002B3E85" w:rsidRDefault="002250D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6">
    <w:p w:rsidR="002250D0" w:rsidRPr="00AC60DF" w:rsidRDefault="002250D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2250D0" w:rsidRPr="00F40071" w:rsidRDefault="002250D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8">
    <w:p w:rsidR="002250D0" w:rsidRPr="00154A01" w:rsidRDefault="002250D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49">
    <w:p w:rsidR="002250D0" w:rsidRPr="00154A01" w:rsidRDefault="002250D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0">
    <w:p w:rsidR="002250D0" w:rsidRPr="00154A01" w:rsidRDefault="002250D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1">
    <w:p w:rsidR="002250D0" w:rsidRPr="00154A01" w:rsidRDefault="002250D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2">
    <w:p w:rsidR="002250D0" w:rsidRPr="00154A01" w:rsidRDefault="002250D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3">
    <w:p w:rsidR="002250D0" w:rsidRPr="00215096" w:rsidRDefault="002250D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02B0B"/>
    <w:rsid w:val="00011862"/>
    <w:rsid w:val="0001452D"/>
    <w:rsid w:val="0001699A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576F5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3EF1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12B0"/>
    <w:rsid w:val="001A2773"/>
    <w:rsid w:val="001A46C3"/>
    <w:rsid w:val="001A5455"/>
    <w:rsid w:val="001B2A51"/>
    <w:rsid w:val="001B2A75"/>
    <w:rsid w:val="001B37C1"/>
    <w:rsid w:val="001B43C4"/>
    <w:rsid w:val="001C15B6"/>
    <w:rsid w:val="001C2D36"/>
    <w:rsid w:val="001D5393"/>
    <w:rsid w:val="001D5DD4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47FD"/>
    <w:rsid w:val="001F5545"/>
    <w:rsid w:val="00202DD5"/>
    <w:rsid w:val="002113AB"/>
    <w:rsid w:val="00212B5F"/>
    <w:rsid w:val="002250D0"/>
    <w:rsid w:val="00226435"/>
    <w:rsid w:val="002277E3"/>
    <w:rsid w:val="00227B9E"/>
    <w:rsid w:val="00227C6E"/>
    <w:rsid w:val="00232160"/>
    <w:rsid w:val="002332C8"/>
    <w:rsid w:val="002333AB"/>
    <w:rsid w:val="00235B0D"/>
    <w:rsid w:val="0023608A"/>
    <w:rsid w:val="00240F7D"/>
    <w:rsid w:val="00241DB4"/>
    <w:rsid w:val="002455D0"/>
    <w:rsid w:val="00252083"/>
    <w:rsid w:val="00252216"/>
    <w:rsid w:val="00262534"/>
    <w:rsid w:val="00262D2B"/>
    <w:rsid w:val="00263427"/>
    <w:rsid w:val="00266FEA"/>
    <w:rsid w:val="00275295"/>
    <w:rsid w:val="00281366"/>
    <w:rsid w:val="00290758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2D64"/>
    <w:rsid w:val="003035FB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3CA1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2E5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0B95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B139D"/>
    <w:rsid w:val="006C4B0D"/>
    <w:rsid w:val="006C7842"/>
    <w:rsid w:val="006D2635"/>
    <w:rsid w:val="006D2EDB"/>
    <w:rsid w:val="006D33D8"/>
    <w:rsid w:val="006D4A9E"/>
    <w:rsid w:val="006E28CD"/>
    <w:rsid w:val="006E4955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28BC"/>
    <w:rsid w:val="00744E9A"/>
    <w:rsid w:val="00745DD1"/>
    <w:rsid w:val="00750468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3FC6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960B4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3D4A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0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6412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34A1"/>
    <w:rsid w:val="00BA7678"/>
    <w:rsid w:val="00BB6892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BF68FF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37C71"/>
    <w:rsid w:val="00C52784"/>
    <w:rsid w:val="00C52968"/>
    <w:rsid w:val="00C56BCC"/>
    <w:rsid w:val="00C603F4"/>
    <w:rsid w:val="00C61BB7"/>
    <w:rsid w:val="00C62930"/>
    <w:rsid w:val="00C64EBA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1233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00402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A53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5A98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0F18"/>
    <w:rsid w:val="00EB1B44"/>
    <w:rsid w:val="00EB24F1"/>
    <w:rsid w:val="00EB5A0B"/>
    <w:rsid w:val="00EC16D9"/>
    <w:rsid w:val="00EC57A3"/>
    <w:rsid w:val="00EC71C3"/>
    <w:rsid w:val="00ED03CD"/>
    <w:rsid w:val="00ED093A"/>
    <w:rsid w:val="00EE3351"/>
    <w:rsid w:val="00EE53C9"/>
    <w:rsid w:val="00EF3C01"/>
    <w:rsid w:val="00EF3E49"/>
    <w:rsid w:val="00EF41F8"/>
    <w:rsid w:val="00EF5D9B"/>
    <w:rsid w:val="00EF63F3"/>
    <w:rsid w:val="00EF6EE8"/>
    <w:rsid w:val="00EF73F8"/>
    <w:rsid w:val="00F00C6A"/>
    <w:rsid w:val="00F020D6"/>
    <w:rsid w:val="00F02AD7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3CF0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026"/>
    <w:rsid w:val="00F8696F"/>
    <w:rsid w:val="00F901A5"/>
    <w:rsid w:val="00F91092"/>
    <w:rsid w:val="00F92738"/>
    <w:rsid w:val="00F94407"/>
    <w:rsid w:val="00F95C3E"/>
    <w:rsid w:val="00FA26B4"/>
    <w:rsid w:val="00FA46E8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10298-5B7C-4629-8B0B-A9E4CE6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A0E6-E847-462D-8043-9639F39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7835</Words>
  <Characters>47012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Henryka Błaszkiewicz</cp:lastModifiedBy>
  <cp:revision>5</cp:revision>
  <cp:lastPrinted>2017-07-11T10:24:00Z</cp:lastPrinted>
  <dcterms:created xsi:type="dcterms:W3CDTF">2017-07-13T09:08:00Z</dcterms:created>
  <dcterms:modified xsi:type="dcterms:W3CDTF">2017-07-28T12:08:00Z</dcterms:modified>
</cp:coreProperties>
</file>