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8610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311187"/>
      <w:docPartObj>
        <w:docPartGallery w:val="Page Numbers (Bottom of Page)"/>
        <w:docPartUnique/>
      </w:docPartObj>
    </w:sdtPr>
    <w:sdtEndPr/>
    <w:sdtContent>
      <w:p w:rsidR="000D61FB" w:rsidRDefault="00707BE0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580C5F">
          <w:rPr>
            <w:noProof/>
          </w:rPr>
          <w:t>2</w:t>
        </w:r>
        <w:r>
          <w:fldChar w:fldCharType="end"/>
        </w:r>
      </w:p>
    </w:sdtContent>
  </w:sdt>
  <w:p w:rsidR="000D61FB" w:rsidRDefault="000D6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932580"/>
      <w:docPartObj>
        <w:docPartGallery w:val="Page Numbers (Bottom of Page)"/>
        <w:docPartUnique/>
      </w:docPartObj>
    </w:sdtPr>
    <w:sdtEndPr/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6766"/>
      <w:docPartObj>
        <w:docPartGallery w:val="Page Numbers (Bottom of Page)"/>
        <w:docPartUnique/>
      </w:docPartObj>
    </w:sdtPr>
    <w:sdtEndPr/>
    <w:sdtContent>
      <w:p w:rsidR="00D904B4" w:rsidRDefault="0086104E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B" w:rsidRDefault="000D61FB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1FB" w:rsidRPr="00735FC2" w:rsidRDefault="000D61FB" w:rsidP="00613F7F">
    <w:pPr>
      <w:pStyle w:val="Nagwek"/>
      <w:rPr>
        <w:rFonts w:asciiTheme="minorHAnsi" w:hAnsiTheme="minorHAnsi" w:cs="Arial"/>
        <w:sz w:val="22"/>
        <w:szCs w:val="22"/>
      </w:rPr>
    </w:pPr>
    <w:r w:rsidRPr="000D61FB">
      <w:rPr>
        <w:rFonts w:asciiTheme="minorHAnsi" w:hAnsiTheme="minorHAnsi" w:cs="Arial"/>
        <w:sz w:val="22"/>
        <w:szCs w:val="22"/>
        <w:u w:val="single"/>
      </w:rPr>
      <w:t xml:space="preserve">Załącznik nr </w:t>
    </w:r>
    <w:r w:rsidR="00B041AE">
      <w:rPr>
        <w:rFonts w:asciiTheme="minorHAnsi" w:hAnsiTheme="minorHAnsi" w:cs="Arial"/>
        <w:sz w:val="22"/>
        <w:szCs w:val="22"/>
        <w:u w:val="single"/>
      </w:rPr>
      <w:t>8</w:t>
    </w:r>
    <w:r w:rsidRPr="000D61FB">
      <w:rPr>
        <w:rFonts w:asciiTheme="minorHAnsi" w:hAnsiTheme="minorHAnsi" w:cs="Arial"/>
        <w:sz w:val="22"/>
        <w:szCs w:val="22"/>
        <w:u w:val="single"/>
      </w:rPr>
      <w:t xml:space="preserve"> do Regulaminu konkursu</w:t>
    </w:r>
    <w:r w:rsidRPr="000D61FB">
      <w:rPr>
        <w:rFonts w:asciiTheme="minorHAnsi" w:hAnsiTheme="minorHAnsi" w:cs="Arial"/>
        <w:sz w:val="22"/>
        <w:szCs w:val="22"/>
      </w:rPr>
      <w:t xml:space="preserve"> – </w:t>
    </w:r>
    <w:r w:rsidR="002E3FD3"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 w:rsidR="002E3FD3"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2E3FD3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80C5F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07BE0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7F00FD"/>
    <w:rsid w:val="00852C8C"/>
    <w:rsid w:val="0086104E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41AE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4CD0189-A097-473A-BA47-029D2E8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748D-18A6-4D0E-B16A-644B483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Ewa Maślankiewicz</cp:lastModifiedBy>
  <cp:revision>3</cp:revision>
  <cp:lastPrinted>2018-11-05T09:41:00Z</cp:lastPrinted>
  <dcterms:created xsi:type="dcterms:W3CDTF">2018-04-09T08:28:00Z</dcterms:created>
  <dcterms:modified xsi:type="dcterms:W3CDTF">2018-11-05T09:43:00Z</dcterms:modified>
</cp:coreProperties>
</file>