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16" w:rsidRPr="00A26216" w:rsidRDefault="00A26216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lastRenderedPageBreak/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ponosi pełną odpowiedzialność za prawidłową realizację Umowy o dofinansowanie Projektu, którą zawiera z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tym za poprawność rozliczeń finansowych, nawet w sytuacji, gdy przekazuje Partnerom odpowiednią część dofinansowania na pokrycie ich wydatków.</w:t>
      </w:r>
    </w:p>
    <w:p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przestrzegania postanowień Umowy o dofinansowanie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RPO WŁ 2014-2020 w procesie ubiegania się o dofinansowanie Projektu, a po zawarciu Umowy o dofinansowanie, reprezentowania Partnerów w trakcie realizacji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zapewniania sprawnego systemu przepływu informacji i komunikacji pomiędzy Stronami oraz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informowania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problemach w realizacji Projektu, w tym o zamiarze zaprzestania jego realizacji lub o zagrożeniu nieosiągnięcia zaplanowanych wskaźników określonych w zatwierdzonym Wniosku;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gromadzenia informacji o uczestnikach projektu i przekazywania ich do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zapewniania prawidłowości operacji finansowych, w szczególności poprzez wdrażanie systemu zarządzania i kontroli finansowej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przedkładania wniosków o płatność do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 pośrednictwem systemu teleinformatycznego SL2014 w celu rozliczenia wydatków w Projekcie oraz otrzymania środków na dofinansowanie zadań realizowanych w ramach Projektu;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 xml:space="preserve">Instytucji Zarządzającej,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udzielanie każdorazowo na wniosek tych podmiotów dokumentów i informacji na temat realizacji Projektu, niezbędnych do przeprowadzenia badania ewaluacyjnego;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zawarcia w ich imieniu i na ich rzecz Umowy o dofinansowanie Projektu z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 o planowanych zmianach w zadaniach realizowanych w ramach Projektu;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informowania Grupy Sterującej o przeszkodach przy realizacji zadań, w tym o ryzyku zaprzestania realizacji zadań;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udzielania na wniosek Grupy Sterującej</w:t>
      </w:r>
      <w:r w:rsidRPr="00A26216"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informacji i wyjaśnień co do zadań realizowanych w ramach Projektu, w terminie i formie umożliwiającej Partnerowi Wiodącemu wywiązanie się z jego obowiązków informacyjnych względem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bankowego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przedstawiania Partnerowi Wiodącemu informacji finansowych i sprawozdawczych w terminach i formie umożliwiającej przygotowanie wniosków o płatność wymaganych w Umowie o dofinansowanie Projektu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(Partner Wiodący może opracować wzory sprawozdań, o których mowa powyżej)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stosowania aspektów społecznych przy udzielaniu zamówień z zastosowaniem ustawy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Instytucja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w przypadku stwierdzenia naruszenia ust. 15, uznaje wydatki poniesione w ramach przeprowadzonego zamówienia za nieprawidłowe i dokonuje korekt finansowych lub pomniejszenia wartości wydatków kwalifikowalnych, z uwzględnieniem zapisów rozporządzenia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wydanego na podstawie art. 24 ust. 13 ustawy wdrożeniowej. Rozporządzenie ministra właściwego ds. rozwoju znajduje się na stronie internetowej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poddania się kontroli w zakresie prawidłowej realizacji zadań w Projekcie przeprowadzonej przez Partnera Wiodącego,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inne uprawnione do kontroli podmioty, w tym w szczególności:</w:t>
      </w:r>
    </w:p>
    <w:p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Partnerem wiodącym przy podejmowaniu działań naprawczych lub przy wskazaniu sposobu wykorzystania rekomendacji, wynikających z informacji pokontrolnej wydawanej przez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inne uprawnione do kontroli podmioty;</w:t>
      </w:r>
    </w:p>
    <w:p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poprzez udostępnianie każdorazowo na wniosek tego podmiotu lub Partnera Wiodącego dokumentów i informacji na temat realizacji Projektu, niezbędnych do przeprowadzenia badania ewaluacyjnego;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mających zastosowanie do wydatków w ramach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cross-financingu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wynikającej z przepisów w zakresie udzielenia pomocy publicznej/pomocy de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wykorzystania środków trwałych nabytych w ramach Projektu po zakończeniu jego realizacji na działalność statutową lub przekazania ich nieodpłatnie podmiotowi niedziałającemu dla zysku;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zlecania usług w ramach Projektu wykonawcy, obejmujących m.in. opracowanie utworu, uwzględniania w umowie z wykonawcą klauzuli przenoszącej autorskie prawa majątkowe do ww. utworu na Partnera;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lastRenderedPageBreak/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3)</w:t>
      </w:r>
    </w:p>
    <w:p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wzajemne zlecanie zakupu towarów lub usług pomiędzy podmiotami partnerstwa;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zakresie i sposobie wykonywania powierzonych Partnerom zadań wymagają ich zgody, wyrażonej na piśmie. Zmiany w przydziale zadań do wykonania wymagają zmian we wniosku o dofinansowanie, zaakceptowania przez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zawarcia aneksu do umowy o partnerstwie.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przyjęte w ramach partnerstwa rozwiązania dotyczące organizacji wewnętrznej partnerstwa tj. informacje dotyczące struktury organizacyjnej w ramach Projektu,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lastRenderedPageBreak/>
        <w:t>informacje na temat Grupy Sterującej (nazwa, skład, rola i zadania, sposób komunikacji, częstotliwość spotkań, sposób podejmowania decyzji, sposób dokumentowania posiedzeń i podejmowanych decyzji) oraz postanowienia dodatkowe, w przypadku partnerstw wprowadzających dodatkowe rozwiązania w zakresie organizacji wewnętrznej partnerstwa, np. dodatkowe ciało doradcze lub rola i zadania Sekretariatu).</w:t>
      </w:r>
    </w:p>
    <w:p w:rsid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bankowy 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 xml:space="preserve">oraz złożenie do Partnera Wiodącego zestawienia zawierającego dane z faktur lub dokumentów księgowych o równoważnej wartości dowodowej,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lastRenderedPageBreak/>
        <w:t>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na podstawie których Partner Wiodący składa wnioski o płatność do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bankowym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 płatność. W przypadku wątpliwości ze strony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przez Partnerów do Partnera Wiodącego zestawień zawierających dane z faktur lub dokumentów księgowych o równoważnej wartości dowodowej, 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złożenie przez Partnerów do Partnera Wiodącego informacji sprawozdawczych wymaganych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bankowym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Partner Wiodący tworzy i występuje do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dokumentów Partnerów, udzielają oni – za pośrednictwem Partnera Wiodącego – odpowiednich wyjaśnień.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dla Projektu rachunków bankowych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W przypadku nierozliczenia całości otrzymanego dofinansowania, podlega ono zwrotowi na rachunek bankowy 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zażąda zwrotu części lub całości otrzymanego dofinansowania zgodnie z Umową o dofinansowanie Projektu 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 żądaniem zwrotu, o którym mowa w zdaniu pierwszym.</w:t>
      </w:r>
    </w:p>
    <w:p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Partnerzy zobowiązani są zwrócić na konto Partnera Wiodącego kwoty określone przez niego w piśmie, w terminie umożliwiającym zwrot środków przez Partnera Wiodącego do Instytucji </w:t>
      </w:r>
      <w:r w:rsidR="00564075">
        <w:rPr>
          <w:rFonts w:ascii="Arial" w:eastAsia="Calibri" w:hAnsi="Arial" w:cs="Arial"/>
          <w:color w:val="000000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br w:type="page"/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§7a.</w:t>
      </w:r>
    </w:p>
    <w:p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Projekt rozliczany jest na etapie końcowego wniosku o płatność pod względem finansowym proporcjonalnie do stopnia osiągnięcia założeń merytorycznych ujętych we wniosku 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powierza Partnerom przetwarzanie danych osobowych w imieniu i na rzecz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na warunkach opisanych w niniejszym paragrafie. 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odniesieniu do zbioru „Beneficjenci w ramach RPO WŁ 2014-2020” na podstawie:</w:t>
      </w:r>
    </w:p>
    <w:p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odniesieniu do zbioru „Centralny system teleinformatyczny wspierający realizację programów operacyjnych” 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przepisy dotyczące wymiany informacji między beneficjentami a instytucjami zarządzającymi, certyfikującymi, audytowymi i pośredniczącymi;</w:t>
      </w:r>
    </w:p>
    <w:p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 jeżeli osoba, której dane dotyczą wyrazi zgodę na ich przetwarzanie. Niewyrażenie zgody na przetwarzanie danych osobowych jest równoznaczne z brakiem możliwości udzielenia wsparcia w ramach Projektu. Partner Wiodący przekazuje Partnerom wzór oświadczenia dotyczącego przetwarzania danych osobowych uczestników projektu</w:t>
      </w:r>
      <w:r w:rsidR="00065F16">
        <w:rPr>
          <w:rFonts w:ascii="Arial" w:eastAsia="Calibri" w:hAnsi="Arial" w:cs="Arial"/>
          <w:sz w:val="22"/>
          <w:szCs w:val="22"/>
          <w:lang w:eastAsia="en-US"/>
        </w:rPr>
        <w:t xml:space="preserve"> oraz wzór zgody na przetwarzanie danych osobowych osób trzecich w związku z realizacją projektu.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Partnerzy zobowiązani są do gromadzenia i przechowywania w swojej siedzibie ww. podpisanych oświadczeń.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art. 24 i art. 25 Ustawy z dnia 29 sierpnia 1997 r. o ochronie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:rsid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:rsidR="00432A2E" w:rsidRDefault="00432A2E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2A2E">
        <w:rPr>
          <w:rFonts w:ascii="Arial" w:eastAsia="Calibri" w:hAnsi="Arial" w:cs="Arial"/>
          <w:sz w:val="22"/>
          <w:szCs w:val="22"/>
          <w:lang w:eastAsia="en-US"/>
        </w:rPr>
        <w:t xml:space="preserve">Partnerzy zobowiązani są zawrzeć z podmiotami wykonującymi zadania związane 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br/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z udzieleniem wsparcia  i  re</w:t>
      </w:r>
      <w:r>
        <w:rPr>
          <w:rFonts w:ascii="Arial" w:eastAsia="Calibri" w:hAnsi="Arial" w:cs="Arial"/>
          <w:sz w:val="22"/>
          <w:szCs w:val="22"/>
          <w:lang w:eastAsia="en-US"/>
        </w:rPr>
        <w:t>alizacją P</w:t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rojektu,  którym  powierzą  przetwarzanie  danych  osobowych,  umowę powierzenia  p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:rsidR="001E6FA5" w:rsidRPr="001E6FA5" w:rsidRDefault="001E6FA5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FA5">
        <w:rPr>
          <w:rFonts w:ascii="Arial" w:eastAsia="Calibri" w:hAnsi="Arial" w:cs="Arial"/>
          <w:sz w:val="22"/>
          <w:szCs w:val="22"/>
          <w:lang w:eastAsia="en-US"/>
        </w:rPr>
        <w:t xml:space="preserve">Zakres danych osobowych powierzanych przez Partnerów podmiotom,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o których mowa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ust.</w:t>
      </w:r>
      <w:r w:rsidR="00E061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8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powinien być adekwatny do celu powierzenia oraz każdorazowo indywidual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 dostosowany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przez Partnera.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 której mowa w ust.1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rozporządzenia, o którym mowa w ust.1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przechowują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ustawy, o której mowa w ust.1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dokumentów przed: dostępem osób nieupoważnionych; zabraniem przez osoby nieuprawnione; przetwarzaniem z naruszeniem ustawy, o której mowa w ust. 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wszystkich danych osobowych powierzonych im w trakcie realizacji Projektu lub dokumentów uzyskanych w związku z wykonywaniem czynności objętych niniejszą umową, a także zachowania w poufności informacji o stosowanych sposobach zabezpieczania danych osobowych, również po zakończeniu realizacji Projektu;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niewykorzystywania zebranych na podstawie niniejszych warunków danych osobowych dla celów innych niż określone w ust. 7;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usunięcia z elektronicznych nośników informacji wielokrotnego zapisu w sposób trwały i nieodwracalny oraz zniszczenia nośników papierowych i elektronicznych nośników informacji jednokrotnego zapisu, na których utrwalone zostały powierzone do przetwarzania dane osobowe, po zakończeniu obowiązywania okresu archiwizowania danych.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Przy przetwarzaniu danych osobowych Partnerzy przestrzegają zasad wskazanych w niniejszym paragrafie, w Ustawie z dnia 29 sierpnia 1997 r. o ochronie danych osobowych oraz w Rozporządzeniu Ministra Spraw Wewnętrznych i Administracji z dnia 29 kwietnia 2004 r. w sprawie dokumentacji przetwarzania danych osobowych oraz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warunków technicznych i organizacyjnych, jakim powinny odpowiadać urządzenia i systemy informatyczne służące do przetwarzania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przed rozpoczęciem przetwarzania danych osobowych podejmują środki zabezpieczające zbiór danych, określone w art. 36-39 ustawy, o której mowa w ust. 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w rozporządzeniu, o którym mowa w ust. 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wynikach kontroli prowadzonych przez podmioty uprawnione w zakresie przetwarzania danych osobowych wraz z informacją na temat zastosowania się do wydanych zaleceń, o których mowa w ust. 2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 xml:space="preserve">Instytucji Zarządzającej,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podmiotom przez nich upoważnionych, w miejscach, w których są przetwarzane powierzone dane osobowe, dokonanie kontroli zgodności z ustawą, o której mowa w 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 rozporządzeniem, o którym mowa w 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powzięcia przez Partnera Wiodącego lub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wiadomości o rażącym naruszeniu przez Partnerów zobowiązań wynikających z ustawy, o której mowa w 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rozporządzenia, o którym mowa w ust.1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niniejszej umowy, Partnerzy umożliwiają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dokonanie niezapowiedzianej kontroli w celu, o którym mowa w ust. 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C94C1C">
      <w:pPr>
        <w:numPr>
          <w:ilvl w:val="0"/>
          <w:numId w:val="28"/>
        </w:numPr>
        <w:suppressAutoHyphens/>
        <w:autoSpaceDE w:val="0"/>
        <w:spacing w:after="120" w:line="276" w:lineRule="auto"/>
        <w:ind w:left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Kontrolerzy Partnera Wiodącego, </w:t>
      </w:r>
      <w:r w:rsidR="00C94C1C" w:rsidRPr="00C94C1C">
        <w:rPr>
          <w:rFonts w:ascii="Arial" w:eastAsia="Calibri" w:hAnsi="Arial" w:cs="Arial"/>
          <w:sz w:val="22"/>
          <w:szCs w:val="22"/>
          <w:lang w:eastAsia="en-US"/>
        </w:rPr>
        <w:t>Ministr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>a</w:t>
      </w:r>
      <w:r w:rsidR="00C94C1C" w:rsidRPr="00C94C1C">
        <w:rPr>
          <w:rFonts w:ascii="Arial" w:eastAsia="Calibri" w:hAnsi="Arial" w:cs="Arial"/>
          <w:sz w:val="22"/>
          <w:szCs w:val="22"/>
          <w:lang w:eastAsia="en-US"/>
        </w:rPr>
        <w:t xml:space="preserve"> właściwe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>go</w:t>
      </w:r>
      <w:r w:rsidR="00C94C1C" w:rsidRPr="00C94C1C">
        <w:rPr>
          <w:rFonts w:ascii="Arial" w:eastAsia="Calibri" w:hAnsi="Arial" w:cs="Arial"/>
          <w:sz w:val="22"/>
          <w:szCs w:val="22"/>
          <w:lang w:eastAsia="en-US"/>
        </w:rPr>
        <w:t xml:space="preserve"> ds. Rozwoju, Instytucji Zarządzającej</w:t>
      </w:r>
      <w:r w:rsidR="00C94C1C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94C1C" w:rsidRPr="00C94C1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podmiotów przez nich upoważnionych mają w szczególności prawo do: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wstępu w godzinach pracy Partnera, za okazaniem imiennego upoważnienia, do pomieszczenia, w którym jest zlokalizowany zbiór powierzonych do przetwarzania danych osobowych oraz pomieszczenia, w którym są przetwarzane powierzone dane osobowe i przeprowadzenia niezbędnych badań lub innych czynności kontrolnych w celu oceny zgodności przetwarzania danych osobowych z ustawą, o której mowa w 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rozporządzeniem, o którym mowa w ust.1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są zobowiązani do zastosowania się do zaleceń dotyczących poprawy jakości zabezpieczania danych osobowych oraz sposobu ich przetwarzania sporządzonych w wyniku kontroli przeprowadzonych przez Partnera Wiodącego,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przez podmioty przez nich upoważnione albo przez inne instytucje upoważnione do kontroli na podstawie odrębnych przepisów.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</w:t>
      </w:r>
      <w:r w:rsidR="00564075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. Lista osób uprawnionych do reprezentowania Partnerów w zakresie obsługi systemu teleinformatycznego SL2014 stanowić będzie załącznik do Umowy o dofinansowanie Projektu. Wykorzystywanie systemu teleinformatycznego SL2014 przez Partnerów, dokonywane będzie w zakresie określonym we wniosku, na podstawie którego następuje zgłoszenie do Instytucji </w:t>
      </w:r>
      <w:r w:rsidR="00564075">
        <w:rPr>
          <w:rFonts w:ascii="Arial" w:hAnsi="Arial" w:cs="Arial"/>
          <w:sz w:val="22"/>
          <w:szCs w:val="22"/>
        </w:rPr>
        <w:t>Pośredniczącej</w:t>
      </w:r>
      <w:r w:rsidRPr="00A26216">
        <w:rPr>
          <w:rFonts w:ascii="Arial" w:hAnsi="Arial" w:cs="Arial"/>
          <w:sz w:val="22"/>
          <w:szCs w:val="22"/>
        </w:rPr>
        <w:t xml:space="preserve"> ww. osób. 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Obowiązki informacyjne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lastRenderedPageBreak/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 xml:space="preserve"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na stronie internetowej Instytucji </w:t>
      </w:r>
      <w:r w:rsidR="00564075">
        <w:rPr>
          <w:rFonts w:ascii="Arial" w:hAnsi="Arial" w:cs="Arial"/>
          <w:bCs/>
          <w:sz w:val="22"/>
          <w:szCs w:val="22"/>
        </w:rPr>
        <w:t>Pośredniczącej</w:t>
      </w:r>
      <w:r w:rsidRPr="00B47C73">
        <w:rPr>
          <w:rFonts w:ascii="Arial" w:hAnsi="Arial" w:cs="Arial"/>
          <w:bCs/>
          <w:sz w:val="22"/>
          <w:szCs w:val="22"/>
        </w:rPr>
        <w:t xml:space="preserve"> oraz zobowiązuje się podczas realizacji Projektu przestrzegać określonych w nich reguł dotyczących informowania o Projekcie i oznaczenia Projektu.</w:t>
      </w:r>
    </w:p>
    <w:p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zobowiązują się do przechowywania dokumentacji związanej z realizowaną przez nich częścią Projektu w sposób zapewniający dostępność, poufność i bezpieczeństwo, z zastrzeżeniem ust. 2, oraz do informowania Partnera Wiodącego 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P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Zmiany w umowie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Grupę Sterującą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Zmiany w umowie skutkujące koniecznością wprowadzenia zmian w Umowie o dofinansowanie Projektu, w tym załączników do Umowy o dofinansowanie Projektu mogą zostać wprowadzone wyłącznie w terminie umożliwiającym Partnerowi Wiodącemu zachowanie terminów dokonywania zmian określonych w Umowie o dofinansowanie Projektu i wymagają zaakceptowania przez Grupę Sterującą.</w:t>
      </w:r>
    </w:p>
    <w:p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Zmiany, o których mowa w ust. 3, nie mogą być niezgodne z postanowieniami Umowy o dofinansowanie.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podpisania Umowy o dofinansowanie Projektu zawieranej pomiędzy Partnerem Wiodącym a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w okresie wskazanym w umowie o dofinansowanie Projektu. </w:t>
      </w:r>
    </w:p>
    <w:p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Umowy o dofinansowanie przez Instytucję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zapisy niniejszej umowy uznaje się za bezprzedmiotowe, za wyjątkiem § 3 ust.1 pkt. 17, 19; § 4 ust. 1 pkt. 17, 18, 20, 21, 24; § 7 ust. 9, 25-29; § 8; § 9; § 10 oraz § 11.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może zostać rozwiązana na podstawie porozumienia stron, w przypadku wystąpienia okoliczności uniemożliwiających dalsze wykonywanie zobowiązań wynikających z umowy. </w:t>
      </w:r>
    </w:p>
    <w:p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Grupy Sterującej, wypowiedzieć umowę jednemu lub większej liczbie Partnerów w przypadku rażącego naruszenia obowiązków Partnera wynikających z umowy lub Umowy o dofinansowanie Projektu.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z umowy lub Umowy o dofinansowanie Projektu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rażącego naruszenia przez Partnerów obowiązków wynikających z umowy lub Umowy o dofinansowanie Projektu, w szczególności nieprawidłowego wydatkowania przez nich środków, na cele inne niż określone w Projekcie lub niezgodnie z umową;</w:t>
      </w:r>
    </w:p>
    <w:p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lastRenderedPageBreak/>
        <w:t>Postępowanie w sprawach spornych</w:t>
      </w:r>
    </w:p>
    <w:p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Spory mogące wyniknąć w związku z realizacją umowy Strony będą starały się rozwiązać polubownie za pośrednictwem Grupy Sterującej.</w:t>
      </w:r>
    </w:p>
    <w:p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Prawa i obowiązki Stron wynikające z niniejszej umowy nie mogą być przenoszone na osoby trzecie bez zgody Stron umowy i zgody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Wszelkie zmiany w partnerstwie dotyczące zakresu zadań/poszczególnych czynności Partnerów, wymagają zgłoszenia do Instytucji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Pośredniczącej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uzyskania jej pisemnej akceptacji.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oświadczają, że nie podlegają wykluczeniu na podstawie przepisów powszechnie obowiązujących z ubiegania się o środki 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sprawach nieuregulowanych umową zastosowanie mają odpowiednie przepisy prawa krajowego i unijnego, Wytyczne i dokumenty programowe oraz postanowienia Umowy o dofinansowanie Projektu.</w:t>
      </w: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1: ……………………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2: ……………………</w:t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:rsidR="00D904B4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  <w:sectPr w:rsidR="00D904B4" w:rsidSect="0040521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949" w:right="1417" w:bottom="1417" w:left="1417" w:header="426" w:footer="708" w:gutter="0"/>
          <w:cols w:space="708"/>
          <w:titlePg/>
          <w:docGrid w:linePitch="360"/>
        </w:sect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a w szczególności do zawarcia z Instytucją </w:t>
      </w:r>
      <w:r w:rsidR="00564075">
        <w:rPr>
          <w:rFonts w:ascii="Arial" w:eastAsia="Calibri" w:hAnsi="Arial" w:cs="Arial"/>
          <w:sz w:val="22"/>
          <w:szCs w:val="22"/>
          <w:lang w:eastAsia="en-US"/>
        </w:rPr>
        <w:t>Pośredniczącą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Umowy o dofinansowanie Projektu, rozliczenia Projektu oraz zaciągania wszelkich zobowiązań z tym związanych.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31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EC7675" w:rsidRPr="00A26216" w:rsidTr="00EC7675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br w:type="page"/>
      </w:r>
    </w:p>
    <w:p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C0973" w:rsidRPr="00A26216" w:rsidRDefault="000C0973" w:rsidP="00A26216"/>
    <w:sectPr w:rsidR="000C0973" w:rsidRPr="00A26216" w:rsidSect="002D26D4">
      <w:footerReference w:type="default" r:id="rId12"/>
      <w:pgSz w:w="11906" w:h="16838"/>
      <w:pgMar w:top="194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1FB" w:rsidRDefault="000D61FB" w:rsidP="00BB57A4">
      <w:r>
        <w:separator/>
      </w:r>
    </w:p>
  </w:endnote>
  <w:endnote w:type="continuationSeparator" w:id="0">
    <w:p w:rsidR="000D61FB" w:rsidRDefault="000D61FB" w:rsidP="00BB5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1311187"/>
      <w:docPartObj>
        <w:docPartGallery w:val="Page Numbers (Bottom of Page)"/>
        <w:docPartUnique/>
      </w:docPartObj>
    </w:sdtPr>
    <w:sdtContent>
      <w:p w:rsidR="000D61FB" w:rsidRDefault="00707BE0">
        <w:pPr>
          <w:pStyle w:val="Stopka"/>
          <w:jc w:val="center"/>
        </w:pPr>
        <w:r>
          <w:fldChar w:fldCharType="begin"/>
        </w:r>
        <w:r w:rsidR="000D61FB">
          <w:instrText>PAGE   \* MERGEFORMAT</w:instrText>
        </w:r>
        <w:r>
          <w:fldChar w:fldCharType="separate"/>
        </w:r>
        <w:r w:rsidR="00B041AE">
          <w:rPr>
            <w:noProof/>
          </w:rPr>
          <w:t>2</w:t>
        </w:r>
        <w:r>
          <w:fldChar w:fldCharType="end"/>
        </w:r>
      </w:p>
      <w:bookmarkStart w:id="0" w:name="_GoBack" w:displacedByCustomXml="next"/>
      <w:bookmarkEnd w:id="0" w:displacedByCustomXml="next"/>
    </w:sdtContent>
  </w:sdt>
  <w:p w:rsidR="000D61FB" w:rsidRDefault="000D61F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932580"/>
      <w:docPartObj>
        <w:docPartGallery w:val="Page Numbers (Bottom of Page)"/>
        <w:docPartUnique/>
      </w:docPartObj>
    </w:sdtPr>
    <w:sdtContent>
      <w:p w:rsidR="000D61FB" w:rsidRDefault="007C151C">
        <w:pPr>
          <w:pStyle w:val="Stopka"/>
          <w:jc w:val="center"/>
        </w:pPr>
        <w:r>
          <w:t>1</w:t>
        </w:r>
      </w:p>
    </w:sdtContent>
  </w:sdt>
  <w:p w:rsidR="000D61FB" w:rsidRDefault="000D61F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6766"/>
      <w:docPartObj>
        <w:docPartGallery w:val="Page Numbers (Bottom of Page)"/>
        <w:docPartUnique/>
      </w:docPartObj>
    </w:sdtPr>
    <w:sdtContent>
      <w:p w:rsidR="00D904B4" w:rsidRDefault="00707BE0">
        <w:pPr>
          <w:pStyle w:val="Stopka"/>
          <w:jc w:val="center"/>
        </w:pPr>
      </w:p>
    </w:sdtContent>
  </w:sdt>
  <w:p w:rsidR="00D904B4" w:rsidRDefault="00D904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1FB" w:rsidRDefault="000D61FB" w:rsidP="00BB57A4">
      <w:r>
        <w:separator/>
      </w:r>
    </w:p>
  </w:footnote>
  <w:footnote w:type="continuationSeparator" w:id="0">
    <w:p w:rsidR="000D61FB" w:rsidRDefault="000D61FB" w:rsidP="00BB57A4">
      <w:r>
        <w:continuationSeparator/>
      </w:r>
    </w:p>
  </w:footnote>
  <w:footnote w:id="1">
    <w:p w:rsidR="000D61FB" w:rsidRPr="006C4B0D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:rsidR="000D61FB" w:rsidRPr="00B64F2C" w:rsidRDefault="000D61FB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0D61FB" w:rsidRPr="006C4B0D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:rsidR="000D61FB" w:rsidRPr="00AC60DF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:rsidR="000D61FB" w:rsidRPr="000913E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:rsidR="000D61FB" w:rsidRPr="006C4B0D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:rsidR="000D61FB" w:rsidRPr="006C4B0D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0D61FB" w:rsidRPr="00BB7DD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:rsidR="000D61FB" w:rsidRPr="006C4B0D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:rsidR="000D61FB" w:rsidRPr="00B64F2C" w:rsidRDefault="000D61FB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:rsidR="000D61FB" w:rsidRPr="00B64F2C" w:rsidRDefault="000D61FB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:rsidR="000D61FB" w:rsidRDefault="000D61FB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:rsidR="000D61FB" w:rsidRPr="000B6AE8" w:rsidRDefault="000D61FB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:rsidR="000D61FB" w:rsidRPr="002B3E85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:rsidR="000D61FB" w:rsidRPr="00242765" w:rsidRDefault="000D61FB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:rsidR="000D61FB" w:rsidRPr="00AC60DF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8">
    <w:p w:rsidR="000D61FB" w:rsidRPr="00AC60DF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9">
    <w:p w:rsidR="000D61FB" w:rsidRPr="00531B98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0">
    <w:p w:rsidR="000D61FB" w:rsidRPr="000B6AE8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:rsidR="000D61FB" w:rsidRPr="00531B98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:rsidR="000D61FB" w:rsidRPr="00531B98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3">
    <w:p w:rsidR="000D61FB" w:rsidRPr="00531B98" w:rsidRDefault="000D61FB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:rsidR="000D61FB" w:rsidRPr="00531B98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5">
    <w:p w:rsidR="000D61FB" w:rsidRPr="00B03992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:rsidR="000D61FB" w:rsidRDefault="000D61FB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:rsidR="000D61FB" w:rsidRPr="00AC60DF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:rsidR="000D61FB" w:rsidRPr="00AC60DF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9">
    <w:p w:rsidR="000D61FB" w:rsidRPr="00A72FA5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nie dotyczy sytuacji, gdy przepisy odrębne wymagają przepływu środków przez rachunek dochodów podmiotu tworzącego partnerstwo.</w:t>
      </w:r>
    </w:p>
  </w:footnote>
  <w:footnote w:id="40">
    <w:p w:rsidR="000D61FB" w:rsidRPr="003918E6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:rsidR="000D61FB" w:rsidRPr="002B3E85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:rsidR="000D61FB" w:rsidRPr="002B3E85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 xml:space="preserve">Instytucją </w:t>
      </w:r>
      <w:r>
        <w:rPr>
          <w:rFonts w:ascii="Arial" w:hAnsi="Arial" w:cs="Arial"/>
          <w:sz w:val="16"/>
          <w:szCs w:val="16"/>
        </w:rPr>
        <w:t>Pośredniczącą</w:t>
      </w:r>
      <w:r w:rsidRPr="002B3E85">
        <w:rPr>
          <w:rFonts w:ascii="Arial" w:hAnsi="Arial" w:cs="Arial"/>
          <w:sz w:val="16"/>
          <w:szCs w:val="16"/>
        </w:rPr>
        <w:t>.</w:t>
      </w:r>
    </w:p>
  </w:footnote>
  <w:footnote w:id="43">
    <w:p w:rsidR="000D61FB" w:rsidRPr="005A707C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:rsidR="000D61FB" w:rsidRDefault="000D61FB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:rsidR="000D61FB" w:rsidRPr="00275295" w:rsidRDefault="000D61FB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:rsidR="000D61FB" w:rsidRPr="00275295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:rsidR="000D61FB" w:rsidRPr="002B3E85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:rsidR="000D61FB" w:rsidRPr="00AC60DF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:rsidR="000D61FB" w:rsidRPr="00F40071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:rsidR="000D61FB" w:rsidRPr="00154A01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:rsidR="000D61FB" w:rsidRPr="00154A01" w:rsidRDefault="000D61FB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:rsidR="000D61FB" w:rsidRPr="00154A01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:rsidR="000D61FB" w:rsidRPr="00154A01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:rsidR="000D61FB" w:rsidRPr="00154A01" w:rsidRDefault="000D61FB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:rsidR="000D61FB" w:rsidRPr="00215096" w:rsidRDefault="000D61FB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1FB" w:rsidRDefault="000D61FB" w:rsidP="009D7ADA">
    <w:pPr>
      <w:tabs>
        <w:tab w:val="center" w:pos="4536"/>
        <w:tab w:val="right" w:pos="9072"/>
      </w:tabs>
      <w:jc w:val="right"/>
    </w:pPr>
    <w:r>
      <w:rPr>
        <w:noProof/>
      </w:rPr>
      <w:drawing>
        <wp:inline distT="0" distB="0" distL="0" distR="0">
          <wp:extent cx="5761355" cy="66421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1FB" w:rsidRPr="00735FC2" w:rsidRDefault="000D61FB" w:rsidP="00613F7F">
    <w:pPr>
      <w:pStyle w:val="Nagwek"/>
      <w:rPr>
        <w:rFonts w:asciiTheme="minorHAnsi" w:hAnsiTheme="minorHAnsi" w:cs="Arial"/>
        <w:sz w:val="22"/>
        <w:szCs w:val="22"/>
      </w:rPr>
    </w:pPr>
    <w:r w:rsidRPr="000D61FB">
      <w:rPr>
        <w:rFonts w:asciiTheme="minorHAnsi" w:hAnsiTheme="minorHAnsi" w:cs="Arial"/>
        <w:sz w:val="22"/>
        <w:szCs w:val="22"/>
        <w:u w:val="single"/>
      </w:rPr>
      <w:t xml:space="preserve">Załącznik nr </w:t>
    </w:r>
    <w:r w:rsidR="00B041AE">
      <w:rPr>
        <w:rFonts w:asciiTheme="minorHAnsi" w:hAnsiTheme="minorHAnsi" w:cs="Arial"/>
        <w:sz w:val="22"/>
        <w:szCs w:val="22"/>
        <w:u w:val="single"/>
      </w:rPr>
      <w:t>8</w:t>
    </w:r>
    <w:r w:rsidRPr="000D61FB">
      <w:rPr>
        <w:rFonts w:asciiTheme="minorHAnsi" w:hAnsiTheme="minorHAnsi" w:cs="Arial"/>
        <w:sz w:val="22"/>
        <w:szCs w:val="22"/>
        <w:u w:val="single"/>
      </w:rPr>
      <w:t xml:space="preserve"> do Regulaminu konkursu</w:t>
    </w:r>
    <w:r w:rsidRPr="000D61FB">
      <w:rPr>
        <w:rFonts w:asciiTheme="minorHAnsi" w:hAnsiTheme="minorHAnsi" w:cs="Arial"/>
        <w:sz w:val="22"/>
        <w:szCs w:val="22"/>
      </w:rPr>
      <w:t xml:space="preserve"> – </w:t>
    </w:r>
    <w:r w:rsidR="002E3FD3">
      <w:rPr>
        <w:rFonts w:asciiTheme="minorHAnsi" w:hAnsiTheme="minorHAnsi" w:cs="Arial"/>
        <w:sz w:val="22"/>
        <w:szCs w:val="22"/>
      </w:rPr>
      <w:t>Wzór m</w:t>
    </w:r>
    <w:r w:rsidRPr="000D61FB">
      <w:rPr>
        <w:rFonts w:asciiTheme="minorHAnsi" w:hAnsiTheme="minorHAnsi" w:cs="Arial"/>
        <w:sz w:val="22"/>
        <w:szCs w:val="22"/>
      </w:rPr>
      <w:t>inimaln</w:t>
    </w:r>
    <w:r w:rsidR="002E3FD3">
      <w:rPr>
        <w:rFonts w:asciiTheme="minorHAnsi" w:hAnsiTheme="minorHAnsi" w:cs="Arial"/>
        <w:sz w:val="22"/>
        <w:szCs w:val="22"/>
      </w:rPr>
      <w:t>ego</w:t>
    </w:r>
    <w:r w:rsidRPr="000D61FB">
      <w:rPr>
        <w:rFonts w:asciiTheme="minorHAnsi" w:hAnsiTheme="minorHAnsi" w:cs="Arial"/>
        <w:sz w:val="22"/>
        <w:szCs w:val="22"/>
      </w:rPr>
      <w:t xml:space="preserve"> zakres umowy o partnerstwie na rzecz realizacji Projektu</w:t>
    </w:r>
  </w:p>
  <w:p w:rsidR="000D61FB" w:rsidRDefault="000D61FB">
    <w:pPr>
      <w:pStyle w:val="Nagwek"/>
    </w:pPr>
    <w:r>
      <w:rPr>
        <w:noProof/>
      </w:rPr>
      <w:drawing>
        <wp:inline distT="0" distB="0" distL="0" distR="0">
          <wp:extent cx="5761355" cy="66421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751F6E"/>
    <w:rsid w:val="0003493C"/>
    <w:rsid w:val="00040DB7"/>
    <w:rsid w:val="00062C11"/>
    <w:rsid w:val="00065F16"/>
    <w:rsid w:val="00091924"/>
    <w:rsid w:val="000C0973"/>
    <w:rsid w:val="000D1748"/>
    <w:rsid w:val="000D4B85"/>
    <w:rsid w:val="000D61FB"/>
    <w:rsid w:val="000E3A3E"/>
    <w:rsid w:val="000F01CE"/>
    <w:rsid w:val="0011044A"/>
    <w:rsid w:val="00137692"/>
    <w:rsid w:val="0017089E"/>
    <w:rsid w:val="001919DA"/>
    <w:rsid w:val="001B2899"/>
    <w:rsid w:val="001D4035"/>
    <w:rsid w:val="001D4172"/>
    <w:rsid w:val="001E6FA5"/>
    <w:rsid w:val="001F389D"/>
    <w:rsid w:val="001F7390"/>
    <w:rsid w:val="00242765"/>
    <w:rsid w:val="002730C5"/>
    <w:rsid w:val="00275F4F"/>
    <w:rsid w:val="00292EBE"/>
    <w:rsid w:val="002D26D4"/>
    <w:rsid w:val="002E3592"/>
    <w:rsid w:val="002E3FD3"/>
    <w:rsid w:val="00320BDF"/>
    <w:rsid w:val="00326943"/>
    <w:rsid w:val="003275BC"/>
    <w:rsid w:val="0035233B"/>
    <w:rsid w:val="00393472"/>
    <w:rsid w:val="003B7F2C"/>
    <w:rsid w:val="0040521D"/>
    <w:rsid w:val="00413F1A"/>
    <w:rsid w:val="00432A2E"/>
    <w:rsid w:val="00475134"/>
    <w:rsid w:val="004A53BA"/>
    <w:rsid w:val="004A6046"/>
    <w:rsid w:val="004A6C11"/>
    <w:rsid w:val="004D33B6"/>
    <w:rsid w:val="004E0A0E"/>
    <w:rsid w:val="004F1AEF"/>
    <w:rsid w:val="005236C8"/>
    <w:rsid w:val="0053148A"/>
    <w:rsid w:val="005331DC"/>
    <w:rsid w:val="005537CD"/>
    <w:rsid w:val="00564075"/>
    <w:rsid w:val="00592D7C"/>
    <w:rsid w:val="005A2626"/>
    <w:rsid w:val="005B06C9"/>
    <w:rsid w:val="005D7D27"/>
    <w:rsid w:val="005E1825"/>
    <w:rsid w:val="00613F7F"/>
    <w:rsid w:val="00616D88"/>
    <w:rsid w:val="0061724E"/>
    <w:rsid w:val="00662196"/>
    <w:rsid w:val="006C7545"/>
    <w:rsid w:val="00707BE0"/>
    <w:rsid w:val="00735FC2"/>
    <w:rsid w:val="00751F6E"/>
    <w:rsid w:val="00755C88"/>
    <w:rsid w:val="00760C69"/>
    <w:rsid w:val="00782AFA"/>
    <w:rsid w:val="00795916"/>
    <w:rsid w:val="00797E5A"/>
    <w:rsid w:val="007C151C"/>
    <w:rsid w:val="007E1D50"/>
    <w:rsid w:val="007F00FD"/>
    <w:rsid w:val="00852C8C"/>
    <w:rsid w:val="008619FF"/>
    <w:rsid w:val="00866050"/>
    <w:rsid w:val="00866CA3"/>
    <w:rsid w:val="008972D6"/>
    <w:rsid w:val="008A0610"/>
    <w:rsid w:val="008A065A"/>
    <w:rsid w:val="008A329D"/>
    <w:rsid w:val="008C37A4"/>
    <w:rsid w:val="008C6CF2"/>
    <w:rsid w:val="00914833"/>
    <w:rsid w:val="00944349"/>
    <w:rsid w:val="0096120A"/>
    <w:rsid w:val="0098378B"/>
    <w:rsid w:val="00986525"/>
    <w:rsid w:val="009917A3"/>
    <w:rsid w:val="009D31E0"/>
    <w:rsid w:val="009D3806"/>
    <w:rsid w:val="009D7ADA"/>
    <w:rsid w:val="00A26216"/>
    <w:rsid w:val="00A65010"/>
    <w:rsid w:val="00A84974"/>
    <w:rsid w:val="00AD0996"/>
    <w:rsid w:val="00B041AE"/>
    <w:rsid w:val="00B05B19"/>
    <w:rsid w:val="00B10F98"/>
    <w:rsid w:val="00B2647D"/>
    <w:rsid w:val="00B27502"/>
    <w:rsid w:val="00B47C73"/>
    <w:rsid w:val="00B97EB3"/>
    <w:rsid w:val="00BA31A8"/>
    <w:rsid w:val="00BB57A4"/>
    <w:rsid w:val="00C56718"/>
    <w:rsid w:val="00C72A73"/>
    <w:rsid w:val="00C94C1C"/>
    <w:rsid w:val="00CB3CAB"/>
    <w:rsid w:val="00D21E43"/>
    <w:rsid w:val="00D30DDA"/>
    <w:rsid w:val="00D46CC7"/>
    <w:rsid w:val="00D53403"/>
    <w:rsid w:val="00D904B4"/>
    <w:rsid w:val="00DA6B13"/>
    <w:rsid w:val="00DE2820"/>
    <w:rsid w:val="00E0610E"/>
    <w:rsid w:val="00E3244B"/>
    <w:rsid w:val="00E43A82"/>
    <w:rsid w:val="00E50894"/>
    <w:rsid w:val="00E527BF"/>
    <w:rsid w:val="00E67C85"/>
    <w:rsid w:val="00E73B76"/>
    <w:rsid w:val="00E83ECC"/>
    <w:rsid w:val="00EA697A"/>
    <w:rsid w:val="00EC7675"/>
    <w:rsid w:val="00EE79B5"/>
    <w:rsid w:val="00F17DCA"/>
    <w:rsid w:val="00F2018E"/>
    <w:rsid w:val="00F36139"/>
    <w:rsid w:val="00F40F9A"/>
    <w:rsid w:val="00F47771"/>
    <w:rsid w:val="00F54B3F"/>
    <w:rsid w:val="00F6625B"/>
    <w:rsid w:val="00FA225E"/>
    <w:rsid w:val="00FA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30C92-FF34-43B1-9832-CC473A0E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26</Pages>
  <Words>8065</Words>
  <Characters>48396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Urbaniak</dc:creator>
  <cp:lastModifiedBy>k.sakowska-walczak</cp:lastModifiedBy>
  <cp:revision>9</cp:revision>
  <cp:lastPrinted>2018-02-22T09:09:00Z</cp:lastPrinted>
  <dcterms:created xsi:type="dcterms:W3CDTF">2018-02-26T13:41:00Z</dcterms:created>
  <dcterms:modified xsi:type="dcterms:W3CDTF">2018-04-09T07:10:00Z</dcterms:modified>
</cp:coreProperties>
</file>